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09DB" w14:textId="160BEA94" w:rsidR="003E5DE7" w:rsidRPr="00E53906" w:rsidRDefault="003E5DE7">
      <w:pPr>
        <w:widowControl/>
        <w:suppressAutoHyphens w:val="0"/>
        <w:spacing w:before="0" w:after="0" w:line="240" w:lineRule="auto"/>
        <w:contextualSpacing w:val="0"/>
        <w:rPr>
          <w:b/>
          <w:caps/>
          <w:color w:val="auto"/>
          <w:sz w:val="22"/>
          <w:lang w:val="en-GB"/>
        </w:rPr>
      </w:pPr>
      <w:r>
        <w:br w:type="page"/>
      </w:r>
    </w:p>
    <w:p w14:paraId="53462245" w14:textId="77777777" w:rsidR="0096392C" w:rsidRDefault="0096392C" w:rsidP="005034BB">
      <w:pPr>
        <w:pStyle w:val="Gindextitle"/>
        <w:rPr>
          <w:lang w:val="en-GB"/>
        </w:rPr>
        <w:sectPr w:rsidR="0096392C" w:rsidSect="00777D79">
          <w:headerReference w:type="even" r:id="rId11"/>
          <w:headerReference w:type="default" r:id="rId12"/>
          <w:footerReference w:type="even" r:id="rId13"/>
          <w:footerReference w:type="default" r:id="rId14"/>
          <w:headerReference w:type="first" r:id="rId15"/>
          <w:footerReference w:type="first" r:id="rId16"/>
          <w:pgSz w:w="11900" w:h="16840"/>
          <w:pgMar w:top="2268" w:right="851" w:bottom="1134" w:left="851" w:header="567" w:footer="567" w:gutter="0"/>
          <w:pgNumType w:start="1"/>
          <w:cols w:space="720"/>
          <w:titlePg/>
        </w:sectPr>
      </w:pPr>
    </w:p>
    <w:p w14:paraId="4D79FB5F" w14:textId="66B6E008" w:rsidR="0096392C" w:rsidRPr="00E53906" w:rsidRDefault="0096392C" w:rsidP="00E53906">
      <w:pPr>
        <w:widowControl/>
        <w:spacing w:before="0" w:after="0"/>
        <w:contextualSpacing w:val="0"/>
        <w:rPr>
          <w:i/>
          <w:lang w:val="en-GB"/>
        </w:rPr>
      </w:pPr>
      <w:r w:rsidRPr="00E53906">
        <w:rPr>
          <w:b/>
          <w:caps/>
          <w:color w:val="C00000"/>
          <w:sz w:val="22"/>
        </w:rPr>
        <w:lastRenderedPageBreak/>
        <w:t xml:space="preserve">Index </w:t>
      </w:r>
    </w:p>
    <w:p w14:paraId="24322467" w14:textId="4260039F" w:rsidR="00FD48A7" w:rsidRDefault="0096392C">
      <w:pPr>
        <w:pStyle w:val="TOC1"/>
        <w:rPr>
          <w:rFonts w:asciiTheme="minorHAnsi" w:eastAsiaTheme="minorEastAsia" w:hAnsiTheme="minorHAnsi" w:cstheme="minorBidi"/>
          <w:b w:val="0"/>
          <w:bCs w:val="0"/>
          <w:color w:val="auto"/>
          <w:sz w:val="22"/>
          <w:szCs w:val="22"/>
          <w:lang w:val="it-IT"/>
        </w:rPr>
      </w:pPr>
      <w:r>
        <w:fldChar w:fldCharType="begin"/>
      </w:r>
      <w:r>
        <w:instrText xml:space="preserve"> TOC \o "1-2" \h \z \u </w:instrText>
      </w:r>
      <w:r>
        <w:fldChar w:fldCharType="separate"/>
      </w:r>
      <w:hyperlink w:anchor="_Toc136449245" w:history="1">
        <w:r w:rsidR="00FD48A7" w:rsidRPr="00D66363">
          <w:rPr>
            <w:rStyle w:val="Hyperlink"/>
          </w:rPr>
          <w:t>Introducere</w:t>
        </w:r>
        <w:r w:rsidR="00FD48A7">
          <w:rPr>
            <w:webHidden/>
          </w:rPr>
          <w:tab/>
        </w:r>
        <w:r w:rsidR="00FD48A7">
          <w:rPr>
            <w:webHidden/>
          </w:rPr>
          <w:fldChar w:fldCharType="begin"/>
        </w:r>
        <w:r w:rsidR="00FD48A7">
          <w:rPr>
            <w:webHidden/>
          </w:rPr>
          <w:instrText xml:space="preserve"> PAGEREF _Toc136449245 \h </w:instrText>
        </w:r>
        <w:r w:rsidR="00FD48A7">
          <w:rPr>
            <w:webHidden/>
          </w:rPr>
        </w:r>
        <w:r w:rsidR="00FD48A7">
          <w:rPr>
            <w:webHidden/>
          </w:rPr>
          <w:fldChar w:fldCharType="separate"/>
        </w:r>
        <w:r w:rsidR="00FD48A7">
          <w:rPr>
            <w:webHidden/>
          </w:rPr>
          <w:t>3</w:t>
        </w:r>
        <w:r w:rsidR="00FD48A7">
          <w:rPr>
            <w:webHidden/>
          </w:rPr>
          <w:fldChar w:fldCharType="end"/>
        </w:r>
      </w:hyperlink>
    </w:p>
    <w:p w14:paraId="32AB45CE" w14:textId="32BAF28D" w:rsidR="00FD48A7" w:rsidRDefault="00FD48A7">
      <w:pPr>
        <w:pStyle w:val="TOC1"/>
        <w:rPr>
          <w:rFonts w:asciiTheme="minorHAnsi" w:eastAsiaTheme="minorEastAsia" w:hAnsiTheme="minorHAnsi" w:cstheme="minorBidi"/>
          <w:b w:val="0"/>
          <w:bCs w:val="0"/>
          <w:color w:val="auto"/>
          <w:sz w:val="22"/>
          <w:szCs w:val="22"/>
          <w:lang w:val="it-IT"/>
        </w:rPr>
      </w:pPr>
      <w:hyperlink w:anchor="_Toc136449246" w:history="1">
        <w:r w:rsidRPr="00D66363">
          <w:rPr>
            <w:rStyle w:val="Hyperlink"/>
          </w:rPr>
          <w:t>1</w:t>
        </w:r>
        <w:r>
          <w:rPr>
            <w:rFonts w:asciiTheme="minorHAnsi" w:eastAsiaTheme="minorEastAsia" w:hAnsiTheme="minorHAnsi" w:cstheme="minorBidi"/>
            <w:b w:val="0"/>
            <w:bCs w:val="0"/>
            <w:color w:val="auto"/>
            <w:sz w:val="22"/>
            <w:szCs w:val="22"/>
          </w:rPr>
          <w:tab/>
        </w:r>
        <w:r w:rsidRPr="00D66363">
          <w:rPr>
            <w:rStyle w:val="Hyperlink"/>
          </w:rPr>
          <w:t>Cum a integrat Generali riscul de sustenabilitate în procesul său de investiții</w:t>
        </w:r>
        <w:r>
          <w:rPr>
            <w:webHidden/>
          </w:rPr>
          <w:tab/>
        </w:r>
        <w:r>
          <w:rPr>
            <w:webHidden/>
          </w:rPr>
          <w:fldChar w:fldCharType="begin"/>
        </w:r>
        <w:r>
          <w:rPr>
            <w:webHidden/>
          </w:rPr>
          <w:instrText xml:space="preserve"> PAGEREF _Toc136449246 \h </w:instrText>
        </w:r>
        <w:r>
          <w:rPr>
            <w:webHidden/>
          </w:rPr>
        </w:r>
        <w:r>
          <w:rPr>
            <w:webHidden/>
          </w:rPr>
          <w:fldChar w:fldCharType="separate"/>
        </w:r>
        <w:r>
          <w:rPr>
            <w:webHidden/>
          </w:rPr>
          <w:t>4</w:t>
        </w:r>
        <w:r>
          <w:rPr>
            <w:webHidden/>
          </w:rPr>
          <w:fldChar w:fldCharType="end"/>
        </w:r>
      </w:hyperlink>
    </w:p>
    <w:p w14:paraId="6FA1C720" w14:textId="5A182676" w:rsidR="00FD48A7" w:rsidRDefault="00FD48A7">
      <w:pPr>
        <w:pStyle w:val="TOC2"/>
        <w:rPr>
          <w:rFonts w:asciiTheme="minorHAnsi" w:eastAsiaTheme="minorEastAsia" w:hAnsiTheme="minorHAnsi" w:cstheme="minorBidi"/>
          <w:color w:val="auto"/>
          <w:sz w:val="22"/>
          <w:szCs w:val="22"/>
          <w:lang w:val="it-IT"/>
        </w:rPr>
      </w:pPr>
      <w:hyperlink w:anchor="_Toc136449247" w:history="1">
        <w:r w:rsidRPr="00D66363">
          <w:rPr>
            <w:rStyle w:val="Hyperlink"/>
            <w:b/>
            <w:caps/>
          </w:rPr>
          <w:t>1.1</w:t>
        </w:r>
        <w:r>
          <w:rPr>
            <w:rFonts w:asciiTheme="minorHAnsi" w:eastAsiaTheme="minorEastAsia" w:hAnsiTheme="minorHAnsi" w:cstheme="minorBidi"/>
            <w:color w:val="auto"/>
            <w:sz w:val="22"/>
            <w:szCs w:val="22"/>
          </w:rPr>
          <w:tab/>
        </w:r>
        <w:r w:rsidRPr="00D66363">
          <w:rPr>
            <w:rStyle w:val="Hyperlink"/>
            <w:b/>
            <w:caps/>
          </w:rPr>
          <w:t>Riscul schimbărilor climatice</w:t>
        </w:r>
        <w:r>
          <w:rPr>
            <w:webHidden/>
          </w:rPr>
          <w:tab/>
        </w:r>
        <w:r>
          <w:rPr>
            <w:webHidden/>
          </w:rPr>
          <w:fldChar w:fldCharType="begin"/>
        </w:r>
        <w:r>
          <w:rPr>
            <w:webHidden/>
          </w:rPr>
          <w:instrText xml:space="preserve"> PAGEREF _Toc136449247 \h </w:instrText>
        </w:r>
        <w:r>
          <w:rPr>
            <w:webHidden/>
          </w:rPr>
        </w:r>
        <w:r>
          <w:rPr>
            <w:webHidden/>
          </w:rPr>
          <w:fldChar w:fldCharType="separate"/>
        </w:r>
        <w:r>
          <w:rPr>
            <w:webHidden/>
          </w:rPr>
          <w:t>4</w:t>
        </w:r>
        <w:r>
          <w:rPr>
            <w:webHidden/>
          </w:rPr>
          <w:fldChar w:fldCharType="end"/>
        </w:r>
      </w:hyperlink>
    </w:p>
    <w:p w14:paraId="7D1101B8" w14:textId="2C6107EB" w:rsidR="0043425A" w:rsidRPr="00E53906" w:rsidRDefault="0096392C" w:rsidP="00E53906">
      <w:pPr>
        <w:rPr>
          <w:bCs/>
          <w:noProof/>
          <w:lang w:val="en-GB"/>
        </w:rPr>
      </w:pPr>
      <w:r>
        <w:rPr>
          <w:bCs/>
          <w:noProof/>
        </w:rPr>
        <w:fldChar w:fldCharType="end"/>
      </w:r>
      <w:r w:rsidR="0043425A">
        <w:rPr>
          <w:i/>
        </w:rPr>
        <w:br w:type="page"/>
      </w:r>
    </w:p>
    <w:p w14:paraId="6A3AA107" w14:textId="6CB084D4" w:rsidR="004C4F33" w:rsidRPr="003519BB" w:rsidRDefault="004C4F33" w:rsidP="004C4F33">
      <w:pPr>
        <w:pStyle w:val="Heading1"/>
        <w:numPr>
          <w:ilvl w:val="0"/>
          <w:numId w:val="0"/>
        </w:numPr>
        <w:ind w:left="432" w:hanging="432"/>
      </w:pPr>
      <w:bookmarkStart w:id="0" w:name="_Toc377473387"/>
      <w:bookmarkStart w:id="1" w:name="_Toc251333576"/>
      <w:bookmarkStart w:id="2" w:name="_Toc136449245"/>
      <w:r w:rsidRPr="004C4F33">
        <w:lastRenderedPageBreak/>
        <w:t>Introducere</w:t>
      </w:r>
      <w:bookmarkEnd w:id="0"/>
      <w:bookmarkEnd w:id="1"/>
      <w:bookmarkEnd w:id="2"/>
    </w:p>
    <w:p w14:paraId="5A81F1FE" w14:textId="19ADEEBA" w:rsidR="006E244A" w:rsidRPr="003519BB" w:rsidRDefault="006E244A" w:rsidP="003D5234">
      <w:pPr>
        <w:spacing w:before="0" w:after="120" w:line="276" w:lineRule="auto"/>
        <w:contextualSpacing w:val="0"/>
        <w:jc w:val="both"/>
        <w:rPr>
          <w:rFonts w:cs="Arial"/>
        </w:rPr>
      </w:pPr>
      <w:r w:rsidRPr="003D5234">
        <w:rPr>
          <w:rFonts w:cs="Arial"/>
          <w:szCs w:val="18"/>
        </w:rPr>
        <w:t xml:space="preserve">Conform Regulamentului (UE) 2019/2088 ("Regulamentul privind transparența în domeniul finanțelor durabile" sau "SFDR"), </w:t>
      </w:r>
      <w:r w:rsidR="003519BB">
        <w:rPr>
          <w:rFonts w:cs="Arial"/>
          <w:szCs w:val="18"/>
        </w:rPr>
        <w:t>Generali Romania</w:t>
      </w:r>
      <w:r w:rsidR="007D1DCD">
        <w:rPr>
          <w:rFonts w:cs="Arial"/>
          <w:szCs w:val="18"/>
        </w:rPr>
        <w:t xml:space="preserve"> </w:t>
      </w:r>
      <w:r w:rsidR="003519BB">
        <w:rPr>
          <w:rFonts w:cs="Arial"/>
          <w:szCs w:val="18"/>
        </w:rPr>
        <w:t>p</w:t>
      </w:r>
      <w:r w:rsidRPr="003D5234">
        <w:rPr>
          <w:rFonts w:cs="Arial"/>
          <w:szCs w:val="18"/>
        </w:rPr>
        <w:t>ublică ace</w:t>
      </w:r>
      <w:r w:rsidR="003519BB">
        <w:rPr>
          <w:rFonts w:cs="Arial"/>
          <w:szCs w:val="18"/>
        </w:rPr>
        <w:t>st</w:t>
      </w:r>
      <w:r w:rsidRPr="003D5234">
        <w:rPr>
          <w:rFonts w:cs="Arial"/>
          <w:szCs w:val="18"/>
        </w:rPr>
        <w:t xml:space="preserve"> </w:t>
      </w:r>
      <w:r w:rsidR="003519BB">
        <w:rPr>
          <w:rFonts w:cs="Arial"/>
          <w:szCs w:val="18"/>
        </w:rPr>
        <w:t xml:space="preserve">material </w:t>
      </w:r>
      <w:r w:rsidRPr="003D5234">
        <w:rPr>
          <w:rFonts w:cs="Arial"/>
          <w:szCs w:val="18"/>
        </w:rPr>
        <w:t xml:space="preserve">care conține </w:t>
      </w:r>
      <w:r w:rsidRPr="003D5234">
        <w:rPr>
          <w:rFonts w:cs="Arial"/>
          <w:spacing w:val="1"/>
        </w:rPr>
        <w:t>informații despre politicile privind integrarea riscurilor de sustenabilitate</w:t>
      </w:r>
      <w:r w:rsidR="00DA0DF1" w:rsidRPr="003D5234">
        <w:rPr>
          <w:rStyle w:val="FootnoteReference"/>
          <w:rFonts w:cs="Arial"/>
        </w:rPr>
        <w:footnoteReference w:id="2"/>
      </w:r>
      <w:r w:rsidRPr="003D5234">
        <w:rPr>
          <w:rFonts w:cs="Arial"/>
        </w:rPr>
        <w:t xml:space="preserve"> în procesul decizional investițional. </w:t>
      </w:r>
    </w:p>
    <w:p w14:paraId="4ADFFC3E" w14:textId="54622A1A" w:rsidR="00526C67" w:rsidRPr="003519BB" w:rsidRDefault="00526C67" w:rsidP="003D5234">
      <w:pPr>
        <w:spacing w:before="0" w:after="120" w:line="276" w:lineRule="auto"/>
        <w:contextualSpacing w:val="0"/>
        <w:jc w:val="both"/>
        <w:rPr>
          <w:rFonts w:cs="Arial"/>
          <w:szCs w:val="18"/>
        </w:rPr>
      </w:pPr>
      <w:r w:rsidRPr="003D5234">
        <w:rPr>
          <w:rFonts w:cs="Arial"/>
          <w:szCs w:val="18"/>
        </w:rPr>
        <w:t>Pentru detalii despre politicile de diligență privind Impacturile Adverse Principale, vă rugăm să consultați "Declarația privind impacturile negative principale ale deciziilor investiționale asupra factorilor de sustenabilitate</w:t>
      </w:r>
      <w:r w:rsidR="00A52E78" w:rsidRPr="003D5234">
        <w:rPr>
          <w:rFonts w:cs="Arial"/>
          <w:szCs w:val="18"/>
        </w:rPr>
        <w:t>"</w:t>
      </w:r>
      <w:r w:rsidR="003519BB">
        <w:rPr>
          <w:rFonts w:cs="Arial"/>
          <w:szCs w:val="18"/>
        </w:rPr>
        <w:t xml:space="preserve">, conform document publicat in site-ul Generali Romania </w:t>
      </w:r>
      <w:r w:rsidR="00A52E78" w:rsidRPr="003D5234">
        <w:rPr>
          <w:rFonts w:cs="Arial"/>
          <w:szCs w:val="18"/>
        </w:rPr>
        <w:t>.</w:t>
      </w:r>
    </w:p>
    <w:p w14:paraId="59723E18" w14:textId="6A9C5C3D" w:rsidR="003E54A3" w:rsidRPr="003519BB" w:rsidRDefault="003E54A3" w:rsidP="003D5234">
      <w:pPr>
        <w:spacing w:before="0" w:after="120" w:line="276" w:lineRule="auto"/>
        <w:contextualSpacing w:val="0"/>
        <w:jc w:val="both"/>
        <w:rPr>
          <w:rFonts w:cs="Arial"/>
          <w:szCs w:val="18"/>
        </w:rPr>
      </w:pPr>
      <w:r w:rsidRPr="003D5234">
        <w:rPr>
          <w:rFonts w:cs="Arial"/>
          <w:szCs w:val="18"/>
        </w:rPr>
        <w:t>Assicurazioni Generali S.p.A. este principala companie-mamă italiană a Grupului Generali. Apartenența la Grupul Generali presupune, de asemenea, implicarea în mai multe inițiative semnate de Grup și angajamentul față de obiectivele comune pentru succesul durabil, inclusiv toate activitățile de asigurări și reasigurare.</w:t>
      </w:r>
    </w:p>
    <w:p w14:paraId="66407A15" w14:textId="7CCF0570" w:rsidR="004C4F33" w:rsidRPr="003519BB" w:rsidRDefault="00230FD3" w:rsidP="003D5234">
      <w:pPr>
        <w:spacing w:before="0" w:after="120" w:line="276" w:lineRule="auto"/>
        <w:contextualSpacing w:val="0"/>
        <w:jc w:val="both"/>
        <w:rPr>
          <w:rFonts w:cs="Arial"/>
          <w:szCs w:val="18"/>
        </w:rPr>
      </w:pPr>
      <w:r w:rsidRPr="00DA758E">
        <w:rPr>
          <w:rFonts w:cs="Arial"/>
          <w:szCs w:val="18"/>
        </w:rPr>
        <w:t xml:space="preserve">În special, </w:t>
      </w:r>
      <w:r w:rsidR="004C4F33" w:rsidRPr="00DA758E">
        <w:rPr>
          <w:rFonts w:cs="Arial"/>
        </w:rPr>
        <w:t>investițiile reprezintă un aspect cheie al modului în care Grupul își desfășoară activitatea. Acestea au un impact semnificativ asupra performanței financiare, a produselor, reputației și asupra mai multor părți interesate (de exemplu, clienți, societatea în ansamblu). Prin urmare, integrarea activă a dimensiunilor de sustenabilitate în deciziile de investiții este esențială.</w:t>
      </w:r>
    </w:p>
    <w:p w14:paraId="52987116" w14:textId="3BC1BF9A" w:rsidR="004C4F33" w:rsidRPr="003519BB" w:rsidRDefault="004C4F33" w:rsidP="003D5234">
      <w:pPr>
        <w:spacing w:before="0" w:after="120" w:line="276" w:lineRule="auto"/>
        <w:contextualSpacing w:val="0"/>
        <w:jc w:val="both"/>
        <w:rPr>
          <w:rFonts w:cs="Arial"/>
          <w:szCs w:val="18"/>
        </w:rPr>
      </w:pPr>
      <w:r w:rsidRPr="003D5234">
        <w:rPr>
          <w:rFonts w:cs="Arial"/>
          <w:szCs w:val="18"/>
        </w:rPr>
        <w:t>Ca proprietar de active, Generali Group integrează proactiv factorii de sustenabilitate</w:t>
      </w:r>
      <w:r w:rsidRPr="003D5234">
        <w:rPr>
          <w:rStyle w:val="FootnoteReference"/>
          <w:rFonts w:cs="Arial"/>
          <w:sz w:val="18"/>
          <w:szCs w:val="18"/>
        </w:rPr>
        <w:footnoteReference w:id="3"/>
      </w:r>
      <w:r w:rsidRPr="003D5234">
        <w:rPr>
          <w:rFonts w:cs="Arial"/>
          <w:szCs w:val="18"/>
        </w:rPr>
        <w:t xml:space="preserve"> în procesul de investiții pentru portofoliile de asigurări, între clasele de active, obținând astfel atât randamente financiare, cât și valoare comună socială în general; prin activități de implicare și vot, Grupul urmărește să influențeze comportamentul emițătorilor.</w:t>
      </w:r>
    </w:p>
    <w:p w14:paraId="3D3743B1" w14:textId="5B41E583" w:rsidR="004C4F33" w:rsidRPr="003519BB" w:rsidRDefault="000D6B6F" w:rsidP="003D5234">
      <w:pPr>
        <w:spacing w:before="0" w:after="120" w:line="276" w:lineRule="auto"/>
        <w:contextualSpacing w:val="0"/>
        <w:jc w:val="both"/>
        <w:rPr>
          <w:rFonts w:cs="Arial"/>
          <w:szCs w:val="18"/>
        </w:rPr>
      </w:pPr>
      <w:r w:rsidRPr="003D5234">
        <w:rPr>
          <w:rFonts w:cs="Arial"/>
          <w:szCs w:val="18"/>
        </w:rPr>
        <w:t xml:space="preserve">Mai mult, Generali </w:t>
      </w:r>
      <w:r w:rsidR="000D60D3" w:rsidRPr="003D5234">
        <w:rPr>
          <w:rStyle w:val="CommentReference"/>
          <w:rFonts w:cs="Arial"/>
          <w:sz w:val="18"/>
          <w:szCs w:val="18"/>
        </w:rPr>
        <w:t>Group este</w:t>
      </w:r>
      <w:r w:rsidR="004C4F33" w:rsidRPr="003D5234">
        <w:rPr>
          <w:rFonts w:cs="Arial"/>
          <w:szCs w:val="18"/>
        </w:rPr>
        <w:t xml:space="preserve"> semnatară a Pactului Global al Națiunilor Unite (2007), Principiilor pentru Investiții Responsabile (2011), Acordului de la Paris (2015), TCFD (2017), Net Zero Asset Owner Alliance (2020), Net Zero Insurance Alliance</w:t>
      </w:r>
      <w:r w:rsidR="001D300D" w:rsidRPr="003D5234">
        <w:rPr>
          <w:rStyle w:val="FootnoteReference"/>
          <w:rFonts w:cs="Arial"/>
          <w:szCs w:val="18"/>
        </w:rPr>
        <w:footnoteReference w:id="4"/>
      </w:r>
      <w:r w:rsidR="00DD7E6D" w:rsidRPr="003D5234">
        <w:rPr>
          <w:rFonts w:cs="Arial"/>
          <w:szCs w:val="18"/>
        </w:rPr>
        <w:t xml:space="preserve"> (2022). În conformitate cu aceste inițiative, de mai mulți ani include în strategiile de investiții și factori de sustenabilitate, fără a sacrifica profitabilitatea. Această structură permite Grupului să aibă un impact pozitiv asupra părților interesate, să reducă riscul investițiilor sale și să-și protejeze reputația împreună cu valoarea creată în timp, în conformitate cu obligația sa fiduciară.</w:t>
      </w:r>
    </w:p>
    <w:p w14:paraId="75FE5AE2" w14:textId="77777777" w:rsidR="00524666" w:rsidRPr="003519BB" w:rsidRDefault="00524666" w:rsidP="003D5234">
      <w:pPr>
        <w:spacing w:before="0" w:after="120" w:line="276" w:lineRule="auto"/>
        <w:contextualSpacing w:val="0"/>
        <w:jc w:val="both"/>
        <w:rPr>
          <w:rFonts w:cs="Arial"/>
          <w:szCs w:val="18"/>
        </w:rPr>
      </w:pPr>
    </w:p>
    <w:p w14:paraId="1463B977" w14:textId="77777777" w:rsidR="00CD7F35" w:rsidRPr="003519BB" w:rsidRDefault="00CD7F35" w:rsidP="003D5234">
      <w:pPr>
        <w:widowControl/>
        <w:suppressAutoHyphens w:val="0"/>
        <w:spacing w:before="0" w:after="120" w:line="276" w:lineRule="auto"/>
        <w:contextualSpacing w:val="0"/>
        <w:rPr>
          <w:rFonts w:cs="Arial"/>
          <w:color w:val="BD2027"/>
          <w:sz w:val="36"/>
          <w:szCs w:val="36"/>
        </w:rPr>
      </w:pPr>
      <w:r w:rsidRPr="003D5234">
        <w:rPr>
          <w:rFonts w:cs="Arial"/>
          <w:color w:val="BD2027"/>
          <w:sz w:val="36"/>
          <w:szCs w:val="36"/>
        </w:rPr>
        <w:br w:type="page"/>
      </w:r>
    </w:p>
    <w:p w14:paraId="6585B6CC" w14:textId="0438DC2F" w:rsidR="00086B58" w:rsidRPr="003519BB" w:rsidRDefault="00086B58">
      <w:pPr>
        <w:keepNext/>
        <w:keepLines/>
        <w:widowControl/>
        <w:numPr>
          <w:ilvl w:val="0"/>
          <w:numId w:val="7"/>
        </w:numPr>
        <w:spacing w:before="0" w:line="440" w:lineRule="exact"/>
        <w:ind w:left="360" w:hanging="360"/>
        <w:outlineLvl w:val="0"/>
        <w:rPr>
          <w:color w:val="BD2027"/>
          <w:sz w:val="36"/>
          <w:szCs w:val="36"/>
        </w:rPr>
      </w:pPr>
      <w:bookmarkStart w:id="3" w:name="_Toc136449246"/>
      <w:r w:rsidRPr="00086B58">
        <w:rPr>
          <w:color w:val="BD2027"/>
          <w:sz w:val="36"/>
          <w:szCs w:val="36"/>
        </w:rPr>
        <w:lastRenderedPageBreak/>
        <w:t>Cum a integrat Generali riscul de sustenabilitate în procesul său de investiții</w:t>
      </w:r>
      <w:bookmarkEnd w:id="3"/>
    </w:p>
    <w:p w14:paraId="7C196EDD" w14:textId="77777777" w:rsidR="00AA3946" w:rsidRPr="003519BB" w:rsidRDefault="00AA3946" w:rsidP="00AA3946"/>
    <w:p w14:paraId="24A2F066" w14:textId="0683E212" w:rsidR="00086B58" w:rsidRPr="003519BB" w:rsidRDefault="0051203E" w:rsidP="00204498">
      <w:pPr>
        <w:spacing w:before="0" w:after="120" w:line="276" w:lineRule="auto"/>
        <w:contextualSpacing w:val="0"/>
        <w:jc w:val="both"/>
        <w:rPr>
          <w:szCs w:val="18"/>
        </w:rPr>
      </w:pPr>
      <w:r w:rsidRPr="000C1022">
        <w:rPr>
          <w:szCs w:val="18"/>
        </w:rPr>
        <w:t>Un risc de sustenabilitate înseamnă un eveniment sau o condiție de mediu, socială sau de guvernanță care, dacă apare, poate provoca un impact negativ real sau potențial material asupra valorii investiției. Identificarea riscurilor de sustenabilitate care pot avea un impact material asupra valorii investițiilor noastre este o datorie față de părțile interesate ale Grupului și investitori.</w:t>
      </w:r>
    </w:p>
    <w:p w14:paraId="646D9CBD" w14:textId="1F7CACCA" w:rsidR="005A463E" w:rsidRPr="003519BB" w:rsidRDefault="007D6BF7" w:rsidP="00204498">
      <w:pPr>
        <w:spacing w:before="0" w:after="120" w:line="276" w:lineRule="auto"/>
        <w:contextualSpacing w:val="0"/>
        <w:jc w:val="both"/>
        <w:rPr>
          <w:szCs w:val="18"/>
        </w:rPr>
      </w:pPr>
      <w:r w:rsidRPr="000C1022">
        <w:rPr>
          <w:rFonts w:cs="Arial"/>
          <w:szCs w:val="18"/>
        </w:rPr>
        <w:t>Grupul Generali și-a formalizat angajamentul față de investițiile responsabile în Politica Grupului de Guvernanță a Investițiilor</w:t>
      </w:r>
      <w:r w:rsidRPr="000C1022">
        <w:rPr>
          <w:rStyle w:val="FootnoteReference"/>
          <w:rFonts w:cs="Arial"/>
          <w:sz w:val="18"/>
          <w:szCs w:val="18"/>
        </w:rPr>
        <w:footnoteReference w:id="5"/>
      </w:r>
      <w:r w:rsidR="00BA7EF9" w:rsidRPr="000C1022">
        <w:rPr>
          <w:rFonts w:cs="Arial"/>
          <w:szCs w:val="18"/>
        </w:rPr>
        <w:t xml:space="preserve"> și în "Ghidul "Integrarea sustenabilității în investiții și proprietate activă a </w:t>
      </w:r>
      <w:r w:rsidR="00EA0C5A">
        <w:rPr>
          <w:rStyle w:val="FootnoteReference"/>
          <w:rFonts w:cs="Arial"/>
          <w:szCs w:val="18"/>
        </w:rPr>
        <w:footnoteReference w:id="6"/>
      </w:r>
      <w:r w:rsidR="003F57D6">
        <w:rPr>
          <w:rFonts w:cs="Arial"/>
          <w:szCs w:val="18"/>
        </w:rPr>
        <w:t>grupului", care include și managementul riscurilor de sustenabilitate.</w:t>
      </w:r>
    </w:p>
    <w:p w14:paraId="23049AAA" w14:textId="13E2CD68" w:rsidR="00CA4E11" w:rsidRPr="003519BB" w:rsidRDefault="00CA4E11" w:rsidP="00204498">
      <w:pPr>
        <w:pStyle w:val="Default"/>
        <w:spacing w:after="120" w:line="276" w:lineRule="auto"/>
        <w:jc w:val="both"/>
        <w:rPr>
          <w:sz w:val="18"/>
          <w:szCs w:val="18"/>
        </w:rPr>
      </w:pPr>
      <w:r w:rsidRPr="000C1022">
        <w:rPr>
          <w:sz w:val="18"/>
          <w:szCs w:val="18"/>
        </w:rPr>
        <w:t xml:space="preserve">Grupul a definit un cadru de investiții durabile și adoptă linii directoare pentru a: </w:t>
      </w:r>
    </w:p>
    <w:p w14:paraId="36CE7967" w14:textId="58E220FF" w:rsidR="00CA4E11" w:rsidRPr="003519BB" w:rsidRDefault="00CA4E11" w:rsidP="00DA758E">
      <w:pPr>
        <w:pStyle w:val="ListParagraph"/>
        <w:numPr>
          <w:ilvl w:val="0"/>
          <w:numId w:val="32"/>
        </w:numPr>
      </w:pPr>
      <w:r w:rsidRPr="00294957">
        <w:t xml:space="preserve">să ia în considerare riscul de sustenabilitate derivat din strategia și deciziile de investiții; </w:t>
      </w:r>
    </w:p>
    <w:p w14:paraId="583560B7" w14:textId="26B6974C" w:rsidR="002E5810" w:rsidRPr="003519BB" w:rsidRDefault="00CA4E11" w:rsidP="00DA758E">
      <w:pPr>
        <w:pStyle w:val="ListParagraph"/>
        <w:numPr>
          <w:ilvl w:val="0"/>
          <w:numId w:val="32"/>
        </w:numPr>
      </w:pPr>
      <w:r w:rsidRPr="00294957">
        <w:t xml:space="preserve">gestionează impactul potențial pe termen lung asupra factorilor de sustenabilitate derivați din strategia sa de investiții. </w:t>
      </w:r>
      <w:bookmarkStart w:id="4" w:name="_Toc251333579"/>
    </w:p>
    <w:p w14:paraId="65A68C01" w14:textId="429F88BB" w:rsidR="007A29C9" w:rsidRPr="003519BB" w:rsidRDefault="00CA4E11" w:rsidP="00204498">
      <w:pPr>
        <w:spacing w:before="0" w:after="120" w:line="276" w:lineRule="auto"/>
        <w:contextualSpacing w:val="0"/>
        <w:jc w:val="both"/>
        <w:rPr>
          <w:rFonts w:eastAsia="Arial"/>
          <w:szCs w:val="18"/>
          <w:lang w:eastAsia="en-US"/>
        </w:rPr>
      </w:pPr>
      <w:r w:rsidRPr="000C1022">
        <w:rPr>
          <w:szCs w:val="18"/>
        </w:rPr>
        <w:t xml:space="preserve">Cadrul </w:t>
      </w:r>
      <w:r w:rsidR="005F7297" w:rsidRPr="000C1022">
        <w:rPr>
          <w:rFonts w:eastAsia="Arial"/>
          <w:szCs w:val="18"/>
          <w:lang w:eastAsia="en-US"/>
        </w:rPr>
        <w:t>investițiilor durabile</w:t>
      </w:r>
      <w:r w:rsidR="007612AA" w:rsidRPr="000C1022">
        <w:rPr>
          <w:rStyle w:val="FootnoteReference"/>
          <w:rFonts w:eastAsia="Arial"/>
          <w:sz w:val="18"/>
          <w:szCs w:val="18"/>
          <w:lang w:eastAsia="en-US"/>
        </w:rPr>
        <w:footnoteReference w:id="7"/>
      </w:r>
      <w:r w:rsidRPr="000C1022">
        <w:rPr>
          <w:rFonts w:eastAsia="Arial"/>
          <w:szCs w:val="18"/>
          <w:lang w:eastAsia="en-US"/>
        </w:rPr>
        <w:t xml:space="preserve"> este compus din patru piloni care urmăresc:</w:t>
      </w:r>
      <w:bookmarkStart w:id="5" w:name="_Hlk114647960"/>
    </w:p>
    <w:p w14:paraId="6E4F6303" w14:textId="18429DB6" w:rsidR="005F7297" w:rsidRPr="003519BB" w:rsidRDefault="005F7297" w:rsidP="00DA758E">
      <w:pPr>
        <w:pStyle w:val="ListParagraph"/>
        <w:numPr>
          <w:ilvl w:val="0"/>
          <w:numId w:val="31"/>
        </w:numPr>
      </w:pPr>
      <w:r w:rsidRPr="00294957">
        <w:t>excluzând din investiții emitenți, sectoare sau activități din cauza problemelor legate de factori de mediu, sociali sau de guvernanță care nu sunt aliniați la standardele minime de bune practici de afaceri sau bazate pe norme internaționale</w:t>
      </w:r>
      <w:r w:rsidR="00D34838" w:rsidRPr="00294957">
        <w:footnoteReference w:id="8"/>
      </w:r>
      <w:r w:rsidR="007C0624" w:rsidRPr="00294957">
        <w:t xml:space="preserve"> care afectează performanța lor financiară pe termen lung și/sau expun Grupul la riscuri mai mari de sustenabilitate și reputație; </w:t>
      </w:r>
    </w:p>
    <w:p w14:paraId="4994E87E" w14:textId="2C8BC56B" w:rsidR="007E4F0D" w:rsidRPr="003519BB" w:rsidRDefault="000B0C77" w:rsidP="00DA758E">
      <w:pPr>
        <w:pStyle w:val="ListParagraph"/>
        <w:numPr>
          <w:ilvl w:val="0"/>
          <w:numId w:val="31"/>
        </w:numPr>
      </w:pPr>
      <w:r w:rsidRPr="00294957">
        <w:t>integrarea în analiza și deciziile investițiilor, între diferite clase de active, evaluarea impacturilor pe termen lung asupra factorilor de sustenabilitate;</w:t>
      </w:r>
    </w:p>
    <w:p w14:paraId="036471D4" w14:textId="4D85FD56" w:rsidR="005F7297" w:rsidRPr="003519BB" w:rsidRDefault="005F7297" w:rsidP="00DA758E">
      <w:pPr>
        <w:pStyle w:val="ListParagraph"/>
        <w:numPr>
          <w:ilvl w:val="0"/>
          <w:numId w:val="31"/>
        </w:numPr>
      </w:pPr>
      <w:r w:rsidRPr="00294957">
        <w:t>dezvoltarea programelor de investiții durabile care promovează obiective specifice de mediu sau sociale;</w:t>
      </w:r>
    </w:p>
    <w:p w14:paraId="16563318" w14:textId="3C543003" w:rsidR="00294957" w:rsidRPr="003519BB" w:rsidRDefault="007A29C9" w:rsidP="00DA758E">
      <w:pPr>
        <w:pStyle w:val="ListParagraph"/>
        <w:numPr>
          <w:ilvl w:val="0"/>
          <w:numId w:val="31"/>
        </w:numPr>
      </w:pPr>
      <w:r w:rsidRPr="00294957">
        <w:t>desfășurarea responsabilității investițiilor asupra companiilor investite (prin vot la Adunările Generale Anuale și/sau implicarea) pentru a promova practici solide în luarea în considerare a factorilor de sustenabilitate și a riscului în planul lor pe termen lung și practicile de afaceri.</w:t>
      </w:r>
    </w:p>
    <w:p w14:paraId="6A7C6985" w14:textId="5B7C5858" w:rsidR="00294957" w:rsidRPr="003519BB" w:rsidRDefault="00192F20" w:rsidP="00DA758E">
      <w:pPr>
        <w:spacing w:before="0" w:after="120" w:line="276" w:lineRule="auto"/>
        <w:contextualSpacing w:val="0"/>
      </w:pPr>
      <w:r w:rsidRPr="00DA758E">
        <w:rPr>
          <w:rFonts w:eastAsia="Arial"/>
          <w:lang w:eastAsia="en-US"/>
        </w:rPr>
        <w:t>Investițiile legate de Produse de Investiții Bazate pe Asigurări (IBIP-uri) sunt supuse unui cadru ad-hoc care ia în considerare specificitățile acestor produse (</w:t>
      </w:r>
      <w:r w:rsidRPr="00DA758E">
        <w:t>selecția investițiilor se bazează pe preferințele de sustenabilitate</w:t>
      </w:r>
      <w:r w:rsidRPr="00DA758E">
        <w:rPr>
          <w:rStyle w:val="FootnoteReference"/>
        </w:rPr>
        <w:footnoteReference w:id="9"/>
      </w:r>
      <w:r w:rsidRPr="00DA758E">
        <w:t xml:space="preserve"> ale asiguraților, iar randamentul și riscul investițiilor sunt păstrate exclusiv sau în principal de asigurați).</w:t>
      </w:r>
    </w:p>
    <w:p w14:paraId="24FFC26F" w14:textId="770CD8B5" w:rsidR="00F17D69" w:rsidRPr="003519BB" w:rsidRDefault="00F17D69" w:rsidP="00DA758E">
      <w:pPr>
        <w:spacing w:before="0" w:after="120" w:line="276" w:lineRule="auto"/>
        <w:contextualSpacing w:val="0"/>
        <w:rPr>
          <w:rFonts w:eastAsia="Arial"/>
          <w:lang w:eastAsia="en-US"/>
        </w:rPr>
      </w:pPr>
      <w:r w:rsidRPr="00F17D69">
        <w:rPr>
          <w:rFonts w:eastAsia="Arial"/>
          <w:lang w:eastAsia="en-US"/>
        </w:rPr>
        <w:t xml:space="preserve">Comitetul de Investiții Responsabile al Grupului, înființat în 2015 la nivelul sediului central al grupului și prezidat de Directorul General, are ca obiectiv coordonarea implementării cadrului de investiții durabile prin definirea unor linii directoare, obiective și ținte specifice.   </w:t>
      </w:r>
    </w:p>
    <w:p w14:paraId="6CD7BDCF" w14:textId="49380684" w:rsidR="007D6BF7" w:rsidRPr="003519BB" w:rsidRDefault="007D6BF7" w:rsidP="00204498">
      <w:pPr>
        <w:spacing w:before="0" w:after="120" w:line="276" w:lineRule="auto"/>
        <w:contextualSpacing w:val="0"/>
        <w:jc w:val="both"/>
        <w:rPr>
          <w:szCs w:val="18"/>
        </w:rPr>
      </w:pPr>
      <w:r w:rsidRPr="000C1022">
        <w:rPr>
          <w:szCs w:val="18"/>
        </w:rPr>
        <w:t xml:space="preserve">Mai mult, Assicurazioni Generali a actualizat Rezoluția-cadru privind investițiile conform articolului 8 din Regulamentul IVASS 24/2016, integrând </w:t>
      </w:r>
      <w:r w:rsidRPr="000C1022">
        <w:rPr>
          <w:rFonts w:cs="Arial"/>
          <w:szCs w:val="18"/>
        </w:rPr>
        <w:t>identificarea riscurilor de sustenabilitate și gestionarea în activitățile investiției la nivel de entitate juridică.</w:t>
      </w:r>
    </w:p>
    <w:p w14:paraId="0EF06195" w14:textId="2B998DF6" w:rsidR="007D6BF7" w:rsidRPr="003519BB" w:rsidRDefault="007D6BF7" w:rsidP="00A05329"/>
    <w:p w14:paraId="2CA5C93D" w14:textId="77777777" w:rsidR="005F7297" w:rsidRPr="008454D7" w:rsidRDefault="005F7297">
      <w:pPr>
        <w:widowControl/>
        <w:numPr>
          <w:ilvl w:val="1"/>
          <w:numId w:val="7"/>
        </w:numPr>
        <w:ind w:left="227" w:hanging="227"/>
        <w:outlineLvl w:val="1"/>
        <w:rPr>
          <w:b/>
          <w:caps/>
          <w:color w:val="BD2027"/>
          <w:sz w:val="22"/>
          <w:szCs w:val="22"/>
          <w:lang w:val="en-US"/>
        </w:rPr>
      </w:pPr>
      <w:bookmarkStart w:id="6" w:name="_Toc136449247"/>
      <w:bookmarkEnd w:id="4"/>
      <w:bookmarkEnd w:id="5"/>
      <w:r w:rsidRPr="008454D7">
        <w:rPr>
          <w:b/>
          <w:caps/>
          <w:color w:val="BD2027"/>
          <w:sz w:val="22"/>
          <w:szCs w:val="22"/>
        </w:rPr>
        <w:t>Riscul schimbărilor climatice</w:t>
      </w:r>
      <w:bookmarkEnd w:id="6"/>
    </w:p>
    <w:p w14:paraId="51E9B82E" w14:textId="77777777" w:rsidR="008F02F3" w:rsidRPr="008454D7" w:rsidRDefault="008F02F3" w:rsidP="008F02F3">
      <w:pPr>
        <w:rPr>
          <w:highlight w:val="yellow"/>
          <w:lang w:val="en-US"/>
        </w:rPr>
      </w:pPr>
    </w:p>
    <w:p w14:paraId="1CE6EFDC" w14:textId="154112A7" w:rsidR="005F7297" w:rsidRPr="003519BB" w:rsidRDefault="005F7297" w:rsidP="005D7F00">
      <w:pPr>
        <w:spacing w:before="0" w:after="120" w:line="276" w:lineRule="auto"/>
        <w:contextualSpacing w:val="0"/>
        <w:jc w:val="both"/>
        <w:rPr>
          <w:szCs w:val="18"/>
        </w:rPr>
      </w:pPr>
      <w:r w:rsidRPr="00225F95">
        <w:rPr>
          <w:szCs w:val="18"/>
        </w:rPr>
        <w:lastRenderedPageBreak/>
        <w:t>Așa cum a menționat Forumul Economic Mondial în cel mai recent raport Global Risk, riscurile legate de aspectele de mediu cresc de la an la an, atât în ceea ce privește probabilitatea, cât și magnitudinea impactului. Dintre diferitele riscuri legate de factorii de mediu (care includ și pierderea biodiversității, cazuri de poluare a apei și solului), riscul schimbărilor climatice este deosebit de relevant. În cadrul riscului schimbărilor climatice, eșecul acțiunilor climatice și evenimentele extreme sunt acum considerate cele mai importante riscuri de către comunitatea internațională.</w:t>
      </w:r>
    </w:p>
    <w:p w14:paraId="628C9313" w14:textId="150380A7" w:rsidR="005F7297" w:rsidRPr="003519BB" w:rsidRDefault="005F7297" w:rsidP="005D7F00">
      <w:pPr>
        <w:spacing w:before="0" w:after="120" w:line="276" w:lineRule="auto"/>
        <w:contextualSpacing w:val="0"/>
        <w:jc w:val="both"/>
        <w:rPr>
          <w:szCs w:val="18"/>
        </w:rPr>
      </w:pPr>
      <w:r w:rsidRPr="00225F95">
        <w:rPr>
          <w:szCs w:val="18"/>
        </w:rPr>
        <w:t>Când vorbim despre schimbările climatice și creșterea temperaturilor globale, se aplică două categorii principale de risc: tranziția și riscul fizic. Dacă încălzirea globală va fi limitată, este necesară o schimbare a structurii economiei (inclusiv energie, producție, transport și sisteme agricole). Astfel, riscul de tranziție poate proveni dintr-o combinație de variabile socio-economice, inclusiv dezvoltarea reglementărilor, a noilor tehnologii și a preferințelor consumatorilor. În același timp, chiar și absența sau introducerea adecvată a unor măsuri pentru restricționarea încălzirii globale ar duce la impacturi fizice ale schimbărilor climatice. Riscul fizic derivă dintr-o combinație de variabile fizice, inclusiv frecvența crescută a evenimentelor climatice extreme precum inundații, valurile de căldură, furtunile, incendiile de vegetație, secetele și evenimentele climatice cronice, cum ar fi creșterea nivelului mării, care pot duce atât la daune, cât și la întreruperi în activități.</w:t>
      </w:r>
    </w:p>
    <w:p w14:paraId="45F33D08" w14:textId="52D9DD02" w:rsidR="005F7297" w:rsidRPr="003519BB" w:rsidRDefault="005F7297" w:rsidP="005D7F00">
      <w:pPr>
        <w:spacing w:before="0" w:after="120" w:line="276" w:lineRule="auto"/>
        <w:contextualSpacing w:val="0"/>
        <w:jc w:val="both"/>
        <w:rPr>
          <w:szCs w:val="18"/>
        </w:rPr>
      </w:pPr>
      <w:r w:rsidRPr="008454D7">
        <w:rPr>
          <w:szCs w:val="18"/>
        </w:rPr>
        <w:t>Oricum, atât riscurile legate de schimbările climatice (tranziție, cât și riscuri fizice) reprezintă o mare provocare pentru societate, având în vedere natura sa, exprimată de IPCC</w:t>
      </w:r>
      <w:r w:rsidR="00C656CE">
        <w:rPr>
          <w:rStyle w:val="FootnoteReference"/>
          <w:szCs w:val="18"/>
        </w:rPr>
        <w:footnoteReference w:id="10"/>
      </w:r>
      <w:r w:rsidR="00F669F6" w:rsidRPr="008454D7">
        <w:rPr>
          <w:szCs w:val="18"/>
        </w:rPr>
        <w:t>, ca rezultat complex al interacțiunii dintre vulnerabilitatea (cât de susceptibil este un sistem uman sau natural la impacturile adverse ale schimbărilor climatice), expunerea (prezența oamenilor, ecosistemelor, serviciilor, infrastructurii,  activități socio-economice și culturale, care pot fi expuse la efectele adverse ale schimbărilor climatice) ale terenului la impactul climatic, precum și pericolele cauzate de climă și schimbările climatice (evenimente extreme și tendințe climatice).</w:t>
      </w:r>
    </w:p>
    <w:p w14:paraId="0A03DB8F" w14:textId="1518F0E1" w:rsidR="005F7297" w:rsidRPr="003519BB" w:rsidRDefault="005F7297" w:rsidP="005D7F00">
      <w:pPr>
        <w:spacing w:before="0" w:after="120" w:line="276" w:lineRule="auto"/>
        <w:contextualSpacing w:val="0"/>
        <w:jc w:val="both"/>
        <w:rPr>
          <w:szCs w:val="18"/>
        </w:rPr>
      </w:pPr>
      <w:r w:rsidRPr="008454D7">
        <w:rPr>
          <w:szCs w:val="18"/>
        </w:rPr>
        <w:t>Generali ia în considerare toate aceste elemente în evaluarea efectuată pentru a integra riscul de sustenabilitate în procesul decizional investițional.</w:t>
      </w:r>
    </w:p>
    <w:p w14:paraId="510ABBD0" w14:textId="4982C920" w:rsidR="005F7297" w:rsidRPr="003519BB" w:rsidRDefault="00E343FC" w:rsidP="005D7F00">
      <w:pPr>
        <w:spacing w:before="0" w:after="120" w:line="276" w:lineRule="auto"/>
        <w:contextualSpacing w:val="0"/>
        <w:jc w:val="both"/>
        <w:rPr>
          <w:szCs w:val="18"/>
        </w:rPr>
      </w:pPr>
      <w:r>
        <w:rPr>
          <w:szCs w:val="18"/>
        </w:rPr>
        <w:t>Așa cum era de așteptat, riscul de tranziție derivă din tranziția către o economie cu emisii scăzute de carbon. Companiile și companiile caracterizate printr-un nivel ridicat de emisii în timpul activității sau care vând produse poluante riscă ca activele lor să rămână blocate (active blocate), ceea ce înseamnă că își pierd valoarea înainte de sfârșitul vieții lor economice. Centralele pe cărbune sunt cel mai clar exemplu al acestui risc. Datorită eforturilor tot mai mari și angajamentelor de a elimina treptat cărbunele la nivel mondial, reglementările de mediu sunt tot mai mari și influențează costul producerii energiei folosind cărbune, iar presiunea publică reduce cererea pentru electricitatea provenită din această activitate. Acest lucru duce inevitabil la instabilitatea pieței care trebuie luată în considerare.  În ciuda tendinței de creștere a prețurilor combustibililor fosili legată de instabilitatea geopolitică și războiul din Ucraina, pe termen lung estimăm că reglementările de mediu vor contribui la devalorizarea acestor active deosebit de poluante, adică la reducerea valorii lor înainte de timp. Acest lucru poate avea un impact important asupra investițiilor noastre și dorim să gestionăm acest risc cu grijă.</w:t>
      </w:r>
    </w:p>
    <w:p w14:paraId="23D4039D" w14:textId="2A67586D" w:rsidR="005F7297" w:rsidRPr="003519BB" w:rsidRDefault="005F7297" w:rsidP="005D7F00">
      <w:pPr>
        <w:spacing w:before="0" w:after="120" w:line="276" w:lineRule="auto"/>
        <w:contextualSpacing w:val="0"/>
        <w:jc w:val="both"/>
        <w:rPr>
          <w:szCs w:val="18"/>
        </w:rPr>
      </w:pPr>
      <w:r w:rsidRPr="005F7297">
        <w:rPr>
          <w:szCs w:val="18"/>
        </w:rPr>
        <w:t>Pentru a gestiona riscul de tranziție și, în special, riscul reducerii activelor companiilor din portofoliul nostru, din 2018 Generali a adoptat o strategie privind schimbările climatice (</w:t>
      </w:r>
      <w:hyperlink r:id="rId17" w:history="1">
        <w:r w:rsidR="00294957" w:rsidRPr="00294957">
          <w:rPr>
            <w:rStyle w:val="Hyperlink"/>
            <w:szCs w:val="18"/>
          </w:rPr>
          <w:t>https://www.generali.com/our-responsibilities/our-commitment-to-the-environment-and-climate</w:t>
        </w:r>
      </w:hyperlink>
      <w:r w:rsidR="00294957">
        <w:rPr>
          <w:szCs w:val="18"/>
        </w:rPr>
        <w:t>) care are ca scop asigurarea faptului că principalele activități ale Grupului, adică activitățile de investiții și subscriere, precum și activitățile operaționale, sunt desfășurate pentru a gestiona riscurile și a valorifica oportunitățile rezultate din tranziția "justă" către o economie cu emisii scăzute de carbon, integrând dimensiunea socială în strategia climatică pentru a minimiza impactul asupra lucrătorilor afectați și a comunităților acestora prin adoptarea unor măsuri de protecție.</w:t>
      </w:r>
    </w:p>
    <w:p w14:paraId="02AA12C7" w14:textId="41045F16" w:rsidR="005F7297" w:rsidRPr="003519BB" w:rsidRDefault="005F7297" w:rsidP="005D7F00">
      <w:pPr>
        <w:spacing w:before="0" w:after="120" w:line="276" w:lineRule="auto"/>
        <w:contextualSpacing w:val="0"/>
        <w:jc w:val="both"/>
        <w:rPr>
          <w:szCs w:val="18"/>
        </w:rPr>
      </w:pPr>
      <w:r w:rsidRPr="005F7297">
        <w:rPr>
          <w:szCs w:val="18"/>
        </w:rPr>
        <w:t xml:space="preserve">Aplicarea concretă a acestei Strategii pentru activitățile investiționale ca deținător de active se concentrează pe trei elemente principale: i) </w:t>
      </w:r>
      <w:r w:rsidR="00CF6CEE">
        <w:rPr>
          <w:szCs w:val="18"/>
        </w:rPr>
        <w:t>contribuția la finanțarea tranziției prin investiții în soluții climatice</w:t>
      </w:r>
      <w:r w:rsidRPr="005F7297">
        <w:rPr>
          <w:szCs w:val="18"/>
        </w:rPr>
        <w:t>; ii) reducerea expunerii la emitenți intensivi în emisii de carbon (criterii de excludere); iii) măsurarea metodică și reducerea propriei amprente de carbon (decarbonizarea portofoliului) în conformitate cu protocoalele dezvoltate de Net-Zero Asset Owner Alliance.</w:t>
      </w:r>
    </w:p>
    <w:p w14:paraId="371AEA83" w14:textId="77777777" w:rsidR="00311212" w:rsidRPr="003519BB" w:rsidRDefault="00311212" w:rsidP="00311212">
      <w:pPr>
        <w:spacing w:before="0" w:after="120" w:line="276" w:lineRule="auto"/>
        <w:contextualSpacing w:val="0"/>
        <w:jc w:val="both"/>
        <w:rPr>
          <w:szCs w:val="18"/>
        </w:rPr>
      </w:pPr>
      <w:r w:rsidRPr="00EE0365">
        <w:rPr>
          <w:szCs w:val="18"/>
        </w:rPr>
        <w:t>Ca parte a programului Lifetime Partner 27: Driving Excellence, lansat în 2025, Grupul intenționează să-și consolideze strategia privind schimbările climatice printr-un nou obiectiv de 12 miliarde € de investiții noi în așa-numitele Soluții pentru Climă, adică investiții care contribuie la decarbonizare și reziliență climatică, selectate pe criterii conforme cu taxonomiile existente și cadrele de referință ale piețelor.</w:t>
      </w:r>
    </w:p>
    <w:p w14:paraId="263625CE" w14:textId="645A23B6" w:rsidR="005F7297" w:rsidRPr="003519BB" w:rsidDel="006A20F4" w:rsidRDefault="005F7297" w:rsidP="005D7F00">
      <w:pPr>
        <w:spacing w:before="0" w:after="120" w:line="276" w:lineRule="auto"/>
        <w:contextualSpacing w:val="0"/>
        <w:jc w:val="both"/>
        <w:rPr>
          <w:szCs w:val="18"/>
        </w:rPr>
      </w:pPr>
      <w:r w:rsidRPr="003519BB" w:rsidDel="006A20F4">
        <w:rPr>
          <w:szCs w:val="18"/>
        </w:rPr>
        <w:t xml:space="preserve">În ceea ce privește obiectivul de a reduce expunerea la emitenți intensivi în emisii de carbon, Grupul este angajat să elimine treptat investițiile în sectorul cărbunelui până în 2030 pentru țările OECD și până în 2040 pentru restul lumii. </w:t>
      </w:r>
      <w:r w:rsidRPr="00EE0365" w:rsidDel="006A20F4">
        <w:rPr>
          <w:szCs w:val="18"/>
        </w:rPr>
        <w:t xml:space="preserve">În acest scop, </w:t>
      </w:r>
      <w:r w:rsidR="00EA7CE9" w:rsidRPr="003519BB">
        <w:rPr>
          <w:szCs w:val="18"/>
        </w:rPr>
        <w:t>în 2025</w:t>
      </w:r>
      <w:r w:rsidRPr="00EE0365" w:rsidDel="006A20F4">
        <w:rPr>
          <w:szCs w:val="18"/>
        </w:rPr>
        <w:t>, Generali a introdus praguri de excludere mai stricte pentru emițătorii din domeniul cărbunelui.</w:t>
      </w:r>
    </w:p>
    <w:p w14:paraId="07333CD1" w14:textId="2BDD0E9C" w:rsidR="005F7297" w:rsidRPr="003519BB" w:rsidRDefault="001429D2" w:rsidP="005D7F00">
      <w:pPr>
        <w:spacing w:before="0" w:after="120" w:line="276" w:lineRule="auto"/>
        <w:contextualSpacing w:val="0"/>
        <w:jc w:val="both"/>
        <w:rPr>
          <w:szCs w:val="18"/>
        </w:rPr>
      </w:pPr>
      <w:r w:rsidRPr="00EE0365">
        <w:rPr>
          <w:szCs w:val="18"/>
        </w:rPr>
        <w:lastRenderedPageBreak/>
        <w:t>Mai mult, Generali este angajată să reducă progresiv expunerea sa în sectorul petrolului și gazelor</w:t>
      </w:r>
      <w:r w:rsidR="00427C73" w:rsidRPr="003519BB">
        <w:rPr>
          <w:szCs w:val="18"/>
        </w:rPr>
        <w:t>.</w:t>
      </w:r>
      <w:r w:rsidR="005F7297" w:rsidRPr="00EE0365">
        <w:rPr>
          <w:szCs w:val="18"/>
        </w:rPr>
        <w:t xml:space="preserve"> </w:t>
      </w:r>
      <w:r w:rsidR="00427C73" w:rsidRPr="003519BB">
        <w:rPr>
          <w:szCs w:val="18"/>
        </w:rPr>
        <w:t>Grupul nu face noi investiții în emitenți ai sectorului integrat de petrol și gaze care sunt considerați neavând strategii eficiente de tranziție energetică menite să atingă obiectivul de net-zero. Planurile de tranziție ale companiilor sunt evaluate folosind o metodologie internă pentru a identifica "Transition Laggards" și ulterior sunt activate pârghii specifice (managementul portofoliului și implicarea).</w:t>
      </w:r>
      <w:r w:rsidR="001901DF" w:rsidRPr="003519BB">
        <w:rPr>
          <w:szCs w:val="18"/>
        </w:rPr>
        <w:t xml:space="preserve"> </w:t>
      </w:r>
    </w:p>
    <w:p w14:paraId="41A88685" w14:textId="2CBC6AB8" w:rsidR="007131E5" w:rsidRPr="003519BB" w:rsidRDefault="007131E5" w:rsidP="005D7F00">
      <w:pPr>
        <w:spacing w:before="0" w:after="120" w:line="276" w:lineRule="auto"/>
        <w:contextualSpacing w:val="0"/>
        <w:jc w:val="both"/>
        <w:rPr>
          <w:szCs w:val="18"/>
        </w:rPr>
      </w:pPr>
      <w:r w:rsidRPr="003519BB">
        <w:rPr>
          <w:szCs w:val="18"/>
        </w:rPr>
        <w:t xml:space="preserve">Pentru informații suplimentare despre </w:t>
      </w:r>
      <w:r w:rsidR="006C5C03" w:rsidRPr="003519BB">
        <w:rPr>
          <w:szCs w:val="18"/>
        </w:rPr>
        <w:t>abordarea Generali privind screeningul negativ, vă rugăm să consultați Nota Tehnică Generali privind Schimbările Climatice</w:t>
      </w:r>
      <w:r w:rsidR="00EE0365" w:rsidRPr="003519BB">
        <w:rPr>
          <w:szCs w:val="18"/>
        </w:rPr>
        <w:t xml:space="preserve">: </w:t>
      </w:r>
      <w:r w:rsidR="00EE0365" w:rsidRPr="00EE0365">
        <w:rPr>
          <w:szCs w:val="18"/>
        </w:rPr>
        <w:t>https://www.generali.com/sustainability/our-commitment-to-the-environment-and-climate</w:t>
      </w:r>
    </w:p>
    <w:p w14:paraId="0869677C" w14:textId="5A863409" w:rsidR="00AE48AF" w:rsidRPr="003519BB" w:rsidRDefault="009E309F" w:rsidP="005D7F00">
      <w:pPr>
        <w:spacing w:before="0" w:after="120" w:line="276" w:lineRule="auto"/>
        <w:contextualSpacing w:val="0"/>
        <w:jc w:val="both"/>
        <w:rPr>
          <w:szCs w:val="18"/>
        </w:rPr>
      </w:pPr>
      <w:r w:rsidRPr="00EE0365">
        <w:rPr>
          <w:szCs w:val="18"/>
        </w:rPr>
        <w:t xml:space="preserve">Pentru obiectivul de a măsura și reduce amprenta de carbon a portofoliului, Generali a stabilit ținte intermediare specifice până </w:t>
      </w:r>
      <w:r w:rsidR="001901DF" w:rsidRPr="003519BB">
        <w:rPr>
          <w:szCs w:val="18"/>
        </w:rPr>
        <w:t xml:space="preserve">în 2029 </w:t>
      </w:r>
      <w:r w:rsidR="00AE48AF" w:rsidRPr="00EE0365">
        <w:rPr>
          <w:szCs w:val="18"/>
        </w:rPr>
        <w:t>în raport cu baza din 2019, detaliate după cum urmează:</w:t>
      </w:r>
    </w:p>
    <w:p w14:paraId="4EABD369" w14:textId="02F24C48" w:rsidR="00211EB6" w:rsidRPr="003519BB" w:rsidRDefault="001901DF" w:rsidP="00DA758E">
      <w:pPr>
        <w:pStyle w:val="ListParagraph"/>
        <w:numPr>
          <w:ilvl w:val="0"/>
          <w:numId w:val="26"/>
        </w:numPr>
      </w:pPr>
      <w:r w:rsidRPr="003519BB">
        <w:t>reducerea de 60</w:t>
      </w:r>
      <w:r w:rsidR="00AE48AF" w:rsidRPr="00EE0365">
        <w:t xml:space="preserve">% a intensității emisiilor </w:t>
      </w:r>
      <w:r w:rsidR="006541AB" w:rsidRPr="003519BB">
        <w:t xml:space="preserve"> de carbon (EVIC) </w:t>
      </w:r>
      <w:r w:rsidR="00AE48AF" w:rsidRPr="00EE0365">
        <w:t>a portofoliului de investiții directe pentru acțiunile listate și obligațiunile corporative;</w:t>
      </w:r>
    </w:p>
    <w:p w14:paraId="1C0B4891" w14:textId="2465191C" w:rsidR="00BD7326" w:rsidRPr="003519BB" w:rsidRDefault="006541AB" w:rsidP="00DA758E">
      <w:pPr>
        <w:pStyle w:val="ListParagraph"/>
        <w:numPr>
          <w:ilvl w:val="0"/>
          <w:numId w:val="26"/>
        </w:numPr>
      </w:pPr>
      <w:r w:rsidRPr="003519BB">
        <w:t xml:space="preserve">Reducerea de 60% a intensității de carbon a </w:t>
      </w:r>
      <w:r w:rsidR="00940B2A" w:rsidRPr="003519BB">
        <w:t>portofoliului de proprietăți Generali Real Estate</w:t>
      </w:r>
    </w:p>
    <w:p w14:paraId="67AA747F" w14:textId="77777777" w:rsidR="006A20F4" w:rsidRPr="003519BB" w:rsidRDefault="006A20F4" w:rsidP="005D7F00">
      <w:pPr>
        <w:spacing w:before="0" w:after="120" w:line="276" w:lineRule="auto"/>
        <w:contextualSpacing w:val="0"/>
        <w:jc w:val="both"/>
        <w:rPr>
          <w:szCs w:val="18"/>
        </w:rPr>
      </w:pPr>
    </w:p>
    <w:p w14:paraId="74E7C642" w14:textId="2D0F92A5" w:rsidR="00475E6A" w:rsidRPr="003519BB" w:rsidRDefault="005F7297" w:rsidP="00475E6A">
      <w:pPr>
        <w:spacing w:before="0" w:after="120" w:line="276" w:lineRule="auto"/>
        <w:contextualSpacing w:val="0"/>
        <w:jc w:val="both"/>
      </w:pPr>
      <w:r w:rsidRPr="005F7297">
        <w:rPr>
          <w:szCs w:val="18"/>
        </w:rPr>
        <w:t>Efortul și măsurile luate pentru reducerea nivelului emisiilor de GES reprezintă doar o parte a efortului privind schimbările climatice. Chiar dacă Grupul reușește să reducă nivelul emisiilor, trebuie să se confrunte cu posibilitatea viitoare a unor schimbări ireversibile în tiparele climatice globale. Potrivit IPCC, activitățile umane sunt estimate că au cauzat deja aproximativ 1,0°C de încălzire globală peste nivelurile preindustriale și, în ritmul actual, încălzirea globală este probabil să atingă 1,5°C între 2030 și 205</w:t>
      </w:r>
      <w:r w:rsidR="007131E5">
        <w:rPr>
          <w:szCs w:val="18"/>
        </w:rPr>
        <w:t>°0</w:t>
      </w:r>
      <w:r w:rsidRPr="005F7297">
        <w:rPr>
          <w:szCs w:val="18"/>
        </w:rPr>
        <w:t>. Impacturile acestui eveniment includ impacturi severe asupra ecosistemelor, creșterea nivelului mării și creșterea evenimentelor meteorologice extreme (secetă, cicloane, inundații, incendii de vegetație) – așa-numitele riscuri</w:t>
      </w:r>
      <w:r w:rsidR="000E3B31">
        <w:rPr>
          <w:szCs w:val="18"/>
        </w:rPr>
        <w:t xml:space="preserve"> fizice. </w:t>
      </w:r>
      <w:r w:rsidR="00475E6A" w:rsidRPr="003519BB">
        <w:rPr>
          <w:szCs w:val="18"/>
        </w:rPr>
        <w:t xml:space="preserve">Ca parte a integrării riscului de sustenabilitate în procesele de management al riscului, funcția de Management al Riscurilor realizează analize de scenarii climatice asupra portofoliilor de investiții. </w:t>
      </w:r>
    </w:p>
    <w:p w14:paraId="7AADCA4F" w14:textId="77777777" w:rsidR="00475E6A" w:rsidRPr="003519BB" w:rsidRDefault="00475E6A" w:rsidP="00475E6A">
      <w:pPr>
        <w:spacing w:before="0" w:after="120" w:line="276" w:lineRule="auto"/>
        <w:contextualSpacing w:val="0"/>
        <w:jc w:val="both"/>
      </w:pPr>
      <w:r w:rsidRPr="003519BB">
        <w:t>Impactul riscului schimbărilor climatice asupra portofoliilor Grupului este evaluat folosind  metodologia Clim@risk proprietară utilizată prin instrumentul Aeolus dezvoltat intern. Metodologia permite evaluarea, pentru fiecare scenariu climatic de referință, a impactului asupra expunerilor Grupului prin aplicarea diferitelor niveluri de stres climatic.</w:t>
      </w:r>
    </w:p>
    <w:p w14:paraId="78372E1C" w14:textId="77777777" w:rsidR="00475E6A" w:rsidRPr="003519BB" w:rsidRDefault="00475E6A" w:rsidP="00475E6A">
      <w:pPr>
        <w:spacing w:before="0" w:after="120" w:line="276" w:lineRule="auto"/>
        <w:contextualSpacing w:val="0"/>
        <w:jc w:val="both"/>
        <w:rPr>
          <w:lang w:val="en-US"/>
        </w:rPr>
      </w:pPr>
      <w:r w:rsidRPr="003519BB">
        <w:t>Următoarele riscuri sunt acoperite:</w:t>
      </w:r>
    </w:p>
    <w:p w14:paraId="77F0DA49" w14:textId="77777777" w:rsidR="00475E6A" w:rsidRPr="003519BB" w:rsidRDefault="00475E6A" w:rsidP="00475E6A">
      <w:pPr>
        <w:pStyle w:val="ListParagraph"/>
        <w:numPr>
          <w:ilvl w:val="0"/>
          <w:numId w:val="26"/>
        </w:numPr>
      </w:pPr>
      <w:r w:rsidRPr="003519BB">
        <w:t>risc fizic din cauza variației frecvenței și severității evenimentelor naturale legate de climă ;</w:t>
      </w:r>
    </w:p>
    <w:p w14:paraId="6DF314EF" w14:textId="77777777" w:rsidR="00475E6A" w:rsidRPr="003519BB" w:rsidRDefault="00475E6A" w:rsidP="00475E6A">
      <w:pPr>
        <w:pStyle w:val="ListParagraph"/>
        <w:numPr>
          <w:ilvl w:val="0"/>
          <w:numId w:val="26"/>
        </w:numPr>
      </w:pPr>
      <w:r w:rsidRPr="003519BB">
        <w:t>riscul de tranziție din cauza variației costurilor și veniturilor provenite din tranziția către o economie verde ;</w:t>
      </w:r>
    </w:p>
    <w:p w14:paraId="2176FCC1" w14:textId="77777777" w:rsidR="00475E6A" w:rsidRPr="003519BB" w:rsidRDefault="00475E6A" w:rsidP="00475E6A">
      <w:pPr>
        <w:pStyle w:val="ListParagraph"/>
        <w:numPr>
          <w:ilvl w:val="0"/>
          <w:numId w:val="26"/>
        </w:numPr>
      </w:pPr>
      <w:r w:rsidRPr="003519BB">
        <w:t>Riscul de litigii din cauza costurilor mai mari generate de cazurile juridice și a controverselor legate de problemele climatice.</w:t>
      </w:r>
    </w:p>
    <w:p w14:paraId="4823C6CD" w14:textId="7EF091DC" w:rsidR="00475E6A" w:rsidRPr="003519BB" w:rsidRDefault="00475E6A" w:rsidP="003519BB">
      <w:pPr>
        <w:spacing w:before="0" w:after="120" w:line="276" w:lineRule="auto"/>
        <w:contextualSpacing w:val="0"/>
        <w:jc w:val="both"/>
      </w:pPr>
      <w:r w:rsidRPr="003519BB">
        <w:t>Evaluarea se realizează pe portofoliile de investiții ale contului general  (care includ instrumente financiare și imobiliare, inclusiv clădiri pentru uz propriu) și este legată de unități. Pentru portofoliul de investiții, toate tipurile de risc climatic sunt evaluate acolo unde este relevant</w:t>
      </w:r>
      <w:r w:rsidR="00941960" w:rsidRPr="003519BB">
        <w:t>.</w:t>
      </w:r>
    </w:p>
    <w:p w14:paraId="1F8E8E1A" w14:textId="77777777" w:rsidR="00475E6A" w:rsidRPr="003519BB" w:rsidRDefault="00475E6A" w:rsidP="00475E6A">
      <w:pPr>
        <w:spacing w:before="0" w:after="120" w:line="276" w:lineRule="auto"/>
        <w:contextualSpacing w:val="0"/>
        <w:jc w:val="both"/>
      </w:pPr>
      <w:r w:rsidRPr="003519BB">
        <w:t xml:space="preserve">Stresul climatic este determinat pornind de la scenarii climatice care reprezintă diferite niveluri de schimbări ale temperaturii globale așteptate la sfârșitul secolului comparativ cu perioada preindustrială (1900-2100). Astfel de schimbări derivă în principal din presupunerile privind emisiile mai mari sau mai mici de CO2 și alte gaze cu efect de seră în atmosferă și efectul acestora asupra climei Pământului, a cărei producție este un set de variabile climatice (de exemplu, temperatura, precipitațiile etc.). </w:t>
      </w:r>
    </w:p>
    <w:p w14:paraId="3AEE36F0" w14:textId="77777777" w:rsidR="00475E6A" w:rsidRPr="003519BB" w:rsidRDefault="00475E6A" w:rsidP="00475E6A">
      <w:pPr>
        <w:spacing w:before="0" w:after="120" w:line="276" w:lineRule="auto"/>
        <w:contextualSpacing w:val="0"/>
        <w:jc w:val="both"/>
      </w:pPr>
      <w:r w:rsidRPr="003519BB">
        <w:t>Pentru a evalua impactul combinat al riscurilor de tranziție, fizice și litigii, scenariile Network for Greening the Financial System (NGFS), care oferă variabile energetice și macroeconomice folosite pentru riscul de tranziție și litigii, sunt asociate cu scenariile Interguvernamentale privind Schimbările Climatice (IPCC), care furnizează variabile climatice utilizate pentru riscul fizic, pe baza creșterii așteptate a temperaturii în 2050. Mai exact, scenariile NGFS de Cerere Scăzută, Net-Zero 2050 și sub 2°C sunt asociate cu scenariul IPCC SSP1-2.6; scenariile NGFS de Tranziție Întârziată și Contribuții Determinate la Nivel Național (NDC) sunt asociate cu scenariul IPCC SSP2-4.5; scenariile NGFS privind Lumea Fragmentată și Politicile Curente sunt asociate cu scenariul IPCC SSP5-8.5.</w:t>
      </w:r>
    </w:p>
    <w:p w14:paraId="5FBE7791" w14:textId="77777777" w:rsidR="00475E6A" w:rsidRPr="003519BB" w:rsidRDefault="00475E6A" w:rsidP="00475E6A">
      <w:pPr>
        <w:spacing w:before="0" w:after="120" w:line="276" w:lineRule="auto"/>
        <w:contextualSpacing w:val="0"/>
        <w:jc w:val="both"/>
      </w:pPr>
      <w:r w:rsidRPr="003519BB">
        <w:t>Pentru a surprinde cele mai semnificative efecte așteptate, au fost luate în considerare orizonturi de timp pe termen scurt, mediu și lung, respectiv 2027, 2034 și 2050.</w:t>
      </w:r>
    </w:p>
    <w:p w14:paraId="28FDE279" w14:textId="77777777" w:rsidR="00475E6A" w:rsidRPr="003519BB" w:rsidRDefault="00475E6A" w:rsidP="00475E6A">
      <w:pPr>
        <w:spacing w:before="0" w:after="120" w:line="276" w:lineRule="auto"/>
        <w:contextualSpacing w:val="0"/>
        <w:jc w:val="both"/>
      </w:pPr>
      <w:r w:rsidRPr="003519BB">
        <w:t xml:space="preserve">Managementul riscului schimbărilor climatice este integrat în procesele decizionale prin definirea unui cadru specific, inclusiv limite și acțiuni remediale în caz de încălcări. </w:t>
      </w:r>
    </w:p>
    <w:p w14:paraId="37A0B0FD" w14:textId="6FF7F200" w:rsidR="00F44908" w:rsidRPr="003519BB" w:rsidRDefault="00475E6A" w:rsidP="00F672B4">
      <w:pPr>
        <w:spacing w:before="0" w:after="120" w:line="276" w:lineRule="auto"/>
        <w:contextualSpacing w:val="0"/>
        <w:jc w:val="both"/>
      </w:pPr>
      <w:r w:rsidRPr="003519BB">
        <w:lastRenderedPageBreak/>
        <w:t xml:space="preserve">Pentru mai multe informații, vă rugăm să consultați secțiunea "Procese de identificare și evaluare a impacturilor, riscurilor și oportunităților materiale legate de climă" inclusă în Grup </w:t>
      </w:r>
      <w:hyperlink r:id="rId18" w:history="1">
        <w:r w:rsidRPr="003519BB">
          <w:rPr>
            <w:rStyle w:val="Hyperlink"/>
          </w:rPr>
          <w:t>Raportul Anual Integrat și Situațiile Financiare Consolidate 202</w:t>
        </w:r>
      </w:hyperlink>
      <w:r w:rsidR="00941960" w:rsidRPr="00941960">
        <w:t>4.</w:t>
      </w:r>
    </w:p>
    <w:sectPr w:rsidR="00F44908" w:rsidRPr="003519BB" w:rsidSect="001A6FDD">
      <w:footerReference w:type="default" r:id="rId19"/>
      <w:headerReference w:type="first" r:id="rId20"/>
      <w:footerReference w:type="first" r:id="rId21"/>
      <w:pgSz w:w="11900" w:h="16840"/>
      <w:pgMar w:top="2268" w:right="851" w:bottom="1134" w:left="851" w:header="56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B96D" w14:textId="77777777" w:rsidR="0063688C" w:rsidRDefault="0063688C">
      <w:pPr>
        <w:spacing w:before="0" w:after="0" w:line="240" w:lineRule="auto"/>
      </w:pPr>
      <w:r>
        <w:separator/>
      </w:r>
    </w:p>
  </w:endnote>
  <w:endnote w:type="continuationSeparator" w:id="0">
    <w:p w14:paraId="4AA8B558" w14:textId="77777777" w:rsidR="0063688C" w:rsidRDefault="0063688C">
      <w:pPr>
        <w:spacing w:before="0" w:after="0" w:line="240" w:lineRule="auto"/>
      </w:pPr>
      <w:r>
        <w:continuationSeparator/>
      </w:r>
    </w:p>
  </w:endnote>
  <w:endnote w:type="continuationNotice" w:id="1">
    <w:p w14:paraId="06D7C6D8" w14:textId="77777777" w:rsidR="0063688C" w:rsidRDefault="0063688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egular">
    <w:altName w:val="Times New Roman"/>
    <w:panose1 w:val="00000000000000000000"/>
    <w:charset w:val="00"/>
    <w:family w:val="roman"/>
    <w:notTrueType/>
    <w:pitch w:val="default"/>
  </w:font>
  <w:font w:name="Arial Italic">
    <w:altName w:val="Arial"/>
    <w:panose1 w:val="020B060402020209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E49C" w14:textId="77777777" w:rsidR="00094073" w:rsidRDefault="00094073" w:rsidP="00DA7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D3CF" w14:textId="77777777" w:rsidR="00094073" w:rsidRDefault="00094073" w:rsidP="00DA7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C972" w14:textId="77777777" w:rsidR="00094073" w:rsidRDefault="00094073" w:rsidP="00DA75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CellMar>
        <w:left w:w="10" w:type="dxa"/>
        <w:right w:w="10" w:type="dxa"/>
      </w:tblCellMar>
      <w:tblLook w:val="0000" w:firstRow="0" w:lastRow="0" w:firstColumn="0" w:lastColumn="0" w:noHBand="0" w:noVBand="0"/>
    </w:tblPr>
    <w:tblGrid>
      <w:gridCol w:w="4860"/>
      <w:gridCol w:w="5340"/>
    </w:tblGrid>
    <w:tr w:rsidR="001A6FDD" w14:paraId="2949C834" w14:textId="77777777" w:rsidTr="007A29C9">
      <w:trPr>
        <w:trHeight w:val="142"/>
      </w:trPr>
      <w:tc>
        <w:tcPr>
          <w:tcW w:w="4860" w:type="dxa"/>
          <w:tcMar>
            <w:top w:w="0" w:type="dxa"/>
            <w:left w:w="0" w:type="dxa"/>
            <w:bottom w:w="0" w:type="dxa"/>
            <w:right w:w="0" w:type="dxa"/>
          </w:tcMar>
          <w:vAlign w:val="bottom"/>
        </w:tcPr>
        <w:p w14:paraId="2C946713" w14:textId="19A60A7E" w:rsidR="001A6FDD" w:rsidRPr="00293E47" w:rsidRDefault="001A6FDD" w:rsidP="00DA758E">
          <w:pPr>
            <w:pStyle w:val="Footer"/>
            <w:rPr>
              <w:lang w:val="en-GB"/>
            </w:rPr>
          </w:pPr>
          <w:r>
            <w:t xml:space="preserve"> </w:t>
          </w:r>
        </w:p>
      </w:tc>
      <w:tc>
        <w:tcPr>
          <w:tcW w:w="5340" w:type="dxa"/>
          <w:tcMar>
            <w:top w:w="0" w:type="dxa"/>
            <w:left w:w="0" w:type="dxa"/>
            <w:bottom w:w="0" w:type="dxa"/>
            <w:right w:w="0" w:type="dxa"/>
          </w:tcMar>
          <w:vAlign w:val="bottom"/>
        </w:tcPr>
        <w:p w14:paraId="5442FF52" w14:textId="77777777" w:rsidR="001A6FDD" w:rsidRDefault="001A6FDD" w:rsidP="00DA758E">
          <w:pPr>
            <w:pStyle w:val="Footer"/>
          </w:pPr>
          <w:r>
            <w:fldChar w:fldCharType="begin"/>
          </w:r>
          <w:r>
            <w:instrText xml:space="preserve"> PAGE </w:instrText>
          </w:r>
          <w:r>
            <w:fldChar w:fldCharType="separate"/>
          </w:r>
          <w:r>
            <w:t>4</w:t>
          </w:r>
          <w:r>
            <w:fldChar w:fldCharType="end"/>
          </w:r>
        </w:p>
      </w:tc>
    </w:tr>
  </w:tbl>
  <w:p w14:paraId="15BA712C" w14:textId="77777777" w:rsidR="001A6FDD" w:rsidRPr="001A6454" w:rsidRDefault="001A6FDD" w:rsidP="00DA758E">
    <w:pPr>
      <w:pStyle w:val="Footer"/>
    </w:pPr>
  </w:p>
  <w:p w14:paraId="0F4ABCD5" w14:textId="77777777" w:rsidR="008B5601" w:rsidRDefault="008B560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856630"/>
      <w:docPartObj>
        <w:docPartGallery w:val="Page Numbers (Bottom of Page)"/>
        <w:docPartUnique/>
      </w:docPartObj>
    </w:sdtPr>
    <w:sdtEndPr>
      <w:rPr>
        <w:color w:val="auto"/>
      </w:rPr>
    </w:sdtEndPr>
    <w:sdtContent>
      <w:sdt>
        <w:sdtPr>
          <w:id w:val="634377781"/>
          <w:docPartObj>
            <w:docPartGallery w:val="Page Numbers (Bottom of Page)"/>
            <w:docPartUnique/>
          </w:docPartObj>
        </w:sdtPr>
        <w:sdtEndPr/>
        <w:sdtContent>
          <w:tbl>
            <w:tblPr>
              <w:tblW w:w="10200" w:type="dxa"/>
              <w:tblCellMar>
                <w:left w:w="10" w:type="dxa"/>
                <w:right w:w="10" w:type="dxa"/>
              </w:tblCellMar>
              <w:tblLook w:val="0000" w:firstRow="0" w:lastRow="0" w:firstColumn="0" w:lastColumn="0" w:noHBand="0" w:noVBand="0"/>
            </w:tblPr>
            <w:tblGrid>
              <w:gridCol w:w="4860"/>
              <w:gridCol w:w="5340"/>
            </w:tblGrid>
            <w:tr w:rsidR="001A6454" w14:paraId="47A7B212" w14:textId="77777777" w:rsidTr="00313042">
              <w:trPr>
                <w:trHeight w:val="283"/>
              </w:trPr>
              <w:tc>
                <w:tcPr>
                  <w:tcW w:w="4860" w:type="dxa"/>
                  <w:tcMar>
                    <w:top w:w="0" w:type="dxa"/>
                    <w:left w:w="0" w:type="dxa"/>
                    <w:bottom w:w="0" w:type="dxa"/>
                    <w:right w:w="0" w:type="dxa"/>
                  </w:tcMar>
                  <w:vAlign w:val="bottom"/>
                </w:tcPr>
                <w:p w14:paraId="7D8E08DF" w14:textId="53D1163F" w:rsidR="001A6454" w:rsidRDefault="001A6454" w:rsidP="00DA758E">
                  <w:pPr>
                    <w:pStyle w:val="Footer"/>
                  </w:pPr>
                  <w:r>
                    <w:fldChar w:fldCharType="begin"/>
                  </w:r>
                  <w:r>
                    <w:instrText xml:space="preserve"> TITLE </w:instrText>
                  </w:r>
                  <w:r>
                    <w:fldChar w:fldCharType="separate"/>
                  </w:r>
                  <w:r>
                    <w:t xml:space="preserve">Politica </w:t>
                  </w:r>
                  <w:r>
                    <w:t>AG</w:t>
                  </w:r>
                  <w:r>
                    <w:fldChar w:fldCharType="end"/>
                  </w:r>
                  <w:r>
                    <w:t xml:space="preserve"> Titlu</w:t>
                  </w:r>
                </w:p>
              </w:tc>
              <w:tc>
                <w:tcPr>
                  <w:tcW w:w="5340" w:type="dxa"/>
                  <w:tcMar>
                    <w:top w:w="0" w:type="dxa"/>
                    <w:left w:w="0" w:type="dxa"/>
                    <w:bottom w:w="0" w:type="dxa"/>
                    <w:right w:w="0" w:type="dxa"/>
                  </w:tcMar>
                  <w:vAlign w:val="bottom"/>
                </w:tcPr>
                <w:p w14:paraId="4CF755E9" w14:textId="0A718BA4" w:rsidR="001A6454" w:rsidRDefault="001A6454" w:rsidP="003519BB">
                  <w:pPr>
                    <w:pStyle w:val="Footer"/>
                  </w:pPr>
                  <w:r>
                    <w:fldChar w:fldCharType="begin"/>
                  </w:r>
                  <w:r>
                    <w:instrText xml:space="preserve"> PAGE </w:instrText>
                  </w:r>
                  <w:r>
                    <w:fldChar w:fldCharType="separate"/>
                  </w:r>
                  <w:r>
                    <w:t>4</w:t>
                  </w:r>
                  <w:r>
                    <w:fldChar w:fldCharType="end"/>
                  </w:r>
                </w:p>
              </w:tc>
            </w:tr>
          </w:tbl>
          <w:p w14:paraId="2C66FCF8" w14:textId="434532F7" w:rsidR="0096392C" w:rsidRDefault="007D1DCD" w:rsidP="00DA758E">
            <w:pPr>
              <w:pStyle w:val="Footer"/>
            </w:pPr>
          </w:p>
        </w:sdtContent>
      </w:sdt>
    </w:sdtContent>
  </w:sdt>
  <w:p w14:paraId="227CF8B7" w14:textId="77777777" w:rsidR="008B5601" w:rsidRDefault="008B56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5F06" w14:textId="77777777" w:rsidR="0063688C" w:rsidRDefault="0063688C">
      <w:pPr>
        <w:spacing w:before="0" w:after="0" w:line="240" w:lineRule="auto"/>
      </w:pPr>
      <w:r>
        <w:separator/>
      </w:r>
    </w:p>
  </w:footnote>
  <w:footnote w:type="continuationSeparator" w:id="0">
    <w:p w14:paraId="1801A0E1" w14:textId="77777777" w:rsidR="0063688C" w:rsidRDefault="0063688C">
      <w:pPr>
        <w:spacing w:before="0" w:after="0" w:line="240" w:lineRule="auto"/>
      </w:pPr>
      <w:r>
        <w:continuationSeparator/>
      </w:r>
    </w:p>
  </w:footnote>
  <w:footnote w:type="continuationNotice" w:id="1">
    <w:p w14:paraId="4A37DA4B" w14:textId="77777777" w:rsidR="0063688C" w:rsidRDefault="0063688C">
      <w:pPr>
        <w:spacing w:before="0" w:after="0" w:line="240" w:lineRule="auto"/>
      </w:pPr>
    </w:p>
  </w:footnote>
  <w:footnote w:id="2">
    <w:p w14:paraId="3F23B328" w14:textId="603F1542" w:rsidR="00DA0DF1" w:rsidRPr="003519BB" w:rsidRDefault="00DA0DF1">
      <w:pPr>
        <w:pStyle w:val="FootnoteText"/>
      </w:pPr>
      <w:r>
        <w:rPr>
          <w:rStyle w:val="FootnoteReference"/>
        </w:rPr>
        <w:footnoteRef/>
      </w:r>
      <w:r w:rsidRPr="00C756D5">
        <w:t xml:space="preserve"> </w:t>
      </w:r>
      <w:r w:rsidR="00DF11D9">
        <w:rPr>
          <w:sz w:val="16"/>
          <w:szCs w:val="16"/>
        </w:rPr>
        <w:t xml:space="preserve">Riscul de sustenabilitate se referă la un eveniment sau o condiție de mediu, socială sau de guvernanță care, dacă apare, poate provoca un impact negativ real sau potențial semnificativ asupra valorii investiției. </w:t>
      </w:r>
    </w:p>
  </w:footnote>
  <w:footnote w:id="3">
    <w:p w14:paraId="43208D95" w14:textId="77777777" w:rsidR="004C4F33" w:rsidRPr="003519BB" w:rsidRDefault="004C4F33" w:rsidP="004C4F33">
      <w:pPr>
        <w:pStyle w:val="FootnoteText"/>
      </w:pPr>
      <w:r>
        <w:rPr>
          <w:rStyle w:val="FootnoteReference"/>
        </w:rPr>
        <w:footnoteRef/>
      </w:r>
      <w:r>
        <w:rPr>
          <w:rFonts w:cs="Arial"/>
          <w:sz w:val="16"/>
          <w:szCs w:val="16"/>
        </w:rPr>
        <w:t xml:space="preserve"> Factorii de sustenabilitate se referă la aspecte de mediu, sociale și ale angajaților, respectul drepturilor omului, probleme anticorupție și </w:t>
      </w:r>
      <w:r>
        <w:rPr>
          <w:rFonts w:ascii="Cambria Math" w:hAnsi="Cambria Math" w:cs="Cambria Math"/>
          <w:sz w:val="16"/>
          <w:szCs w:val="16"/>
        </w:rPr>
        <w:t>antimită</w:t>
      </w:r>
      <w:r>
        <w:rPr>
          <w:rFonts w:cs="Arial"/>
          <w:sz w:val="16"/>
          <w:szCs w:val="16"/>
        </w:rPr>
        <w:t>.</w:t>
      </w:r>
    </w:p>
  </w:footnote>
  <w:footnote w:id="4">
    <w:p w14:paraId="4DAF3711" w14:textId="4158C048" w:rsidR="001D300D" w:rsidRPr="003519BB" w:rsidRDefault="001D300D">
      <w:pPr>
        <w:pStyle w:val="FootnoteText"/>
        <w:rPr>
          <w:sz w:val="16"/>
          <w:szCs w:val="16"/>
        </w:rPr>
      </w:pPr>
      <w:r w:rsidRPr="00FD6DEF">
        <w:rPr>
          <w:rStyle w:val="FootnoteReference"/>
          <w:sz w:val="16"/>
          <w:szCs w:val="16"/>
        </w:rPr>
        <w:footnoteRef/>
      </w:r>
      <w:r w:rsidRPr="00FD6DEF">
        <w:rPr>
          <w:sz w:val="16"/>
          <w:szCs w:val="16"/>
        </w:rPr>
        <w:t xml:space="preserve"> Inițiativă privind portofoliile de subscriere a asigurărilor și reasigurărilor.</w:t>
      </w:r>
    </w:p>
  </w:footnote>
  <w:footnote w:id="5">
    <w:p w14:paraId="796E584B" w14:textId="77777777" w:rsidR="007D6BF7" w:rsidRPr="003519BB" w:rsidRDefault="007D6BF7" w:rsidP="007D6BF7">
      <w:pPr>
        <w:pStyle w:val="FootnoteText"/>
      </w:pPr>
      <w:r>
        <w:rPr>
          <w:rStyle w:val="FootnoteReference"/>
        </w:rPr>
        <w:footnoteRef/>
      </w:r>
      <w:r w:rsidRPr="00A31402">
        <w:t xml:space="preserve"> </w:t>
      </w:r>
      <w:r w:rsidRPr="00A31402">
        <w:rPr>
          <w:sz w:val="16"/>
          <w:szCs w:val="16"/>
        </w:rPr>
        <w:t>Actualizat ca urmare a noilor cerințe ale Regulamentului UE privind Del. 2021/1256.</w:t>
      </w:r>
    </w:p>
  </w:footnote>
  <w:footnote w:id="6">
    <w:p w14:paraId="5E0477A4" w14:textId="23D14ABD" w:rsidR="00EA0C5A" w:rsidRPr="003519BB" w:rsidRDefault="00EA0C5A">
      <w:pPr>
        <w:pStyle w:val="FootnoteText"/>
      </w:pPr>
      <w:r>
        <w:rPr>
          <w:rStyle w:val="FootnoteReference"/>
        </w:rPr>
        <w:footnoteRef/>
      </w:r>
      <w:r w:rsidRPr="00FD48A7">
        <w:t xml:space="preserve"> </w:t>
      </w:r>
      <w:r w:rsidR="00B85B59" w:rsidRPr="00B85B59">
        <w:rPr>
          <w:sz w:val="16"/>
          <w:szCs w:val="16"/>
        </w:rPr>
        <w:t>Disponibil la pagina următoare</w:t>
      </w:r>
      <w:r w:rsidR="00B85B59" w:rsidRPr="00B85B59">
        <w:t xml:space="preserve">: </w:t>
      </w:r>
      <w:r w:rsidRPr="00B85B59">
        <w:rPr>
          <w:sz w:val="16"/>
          <w:szCs w:val="16"/>
        </w:rPr>
        <w:t>https://www.generali.com/our-responsibilities/responsible-investments.</w:t>
      </w:r>
    </w:p>
  </w:footnote>
  <w:footnote w:id="7">
    <w:p w14:paraId="243D60E7" w14:textId="7E2A27C3" w:rsidR="007612AA" w:rsidRPr="003519BB" w:rsidRDefault="007612AA">
      <w:pPr>
        <w:pStyle w:val="FootnoteText"/>
        <w:rPr>
          <w:sz w:val="16"/>
          <w:szCs w:val="16"/>
        </w:rPr>
      </w:pPr>
      <w:r>
        <w:rPr>
          <w:rStyle w:val="FootnoteReference"/>
        </w:rPr>
        <w:footnoteRef/>
      </w:r>
      <w:r w:rsidRPr="007612AA">
        <w:t xml:space="preserve"> </w:t>
      </w:r>
      <w:r w:rsidRPr="007612AA">
        <w:rPr>
          <w:sz w:val="16"/>
          <w:szCs w:val="16"/>
        </w:rPr>
        <w:t>Conform taxonomiei PRI adoptate de Grup, fiind semnatar PRI din 2011.</w:t>
      </w:r>
    </w:p>
  </w:footnote>
  <w:footnote w:id="8">
    <w:p w14:paraId="0B239B63" w14:textId="4972D762" w:rsidR="00D34838" w:rsidRPr="003519BB" w:rsidRDefault="00D34838">
      <w:pPr>
        <w:pStyle w:val="FootnoteText"/>
      </w:pPr>
      <w:r w:rsidRPr="008D016C">
        <w:rPr>
          <w:rStyle w:val="FootnoteReference"/>
          <w:sz w:val="16"/>
          <w:szCs w:val="16"/>
        </w:rPr>
        <w:footnoteRef/>
      </w:r>
      <w:r w:rsidRPr="002E7C3D">
        <w:rPr>
          <w:sz w:val="16"/>
          <w:szCs w:val="16"/>
        </w:rPr>
        <w:t xml:space="preserve"> De exemplu,</w:t>
      </w:r>
      <w:r w:rsidRPr="008D016C">
        <w:rPr>
          <w:rFonts w:cs="Arial"/>
          <w:sz w:val="16"/>
          <w:szCs w:val="16"/>
        </w:rPr>
        <w:t xml:space="preserve"> tratatele ONU, sancțiunile Consiliului de Securitate, Pactul Global al ONU, Declarația Universală a Drepturilor Omului și ghidurile OECD</w:t>
      </w:r>
      <w:r w:rsidRPr="009307CE">
        <w:t>.</w:t>
      </w:r>
    </w:p>
  </w:footnote>
  <w:footnote w:id="9">
    <w:p w14:paraId="4F293892" w14:textId="77777777" w:rsidR="00192F20" w:rsidRPr="003519BB" w:rsidRDefault="00192F20" w:rsidP="00192F20">
      <w:pPr>
        <w:pStyle w:val="FootnoteText"/>
        <w:rPr>
          <w:sz w:val="16"/>
          <w:szCs w:val="16"/>
        </w:rPr>
      </w:pPr>
      <w:r w:rsidRPr="00523432">
        <w:rPr>
          <w:rStyle w:val="FootnoteReference"/>
        </w:rPr>
        <w:footnoteRef/>
      </w:r>
      <w:r w:rsidRPr="00523432">
        <w:t xml:space="preserve"> </w:t>
      </w:r>
      <w:r w:rsidRPr="00523432">
        <w:rPr>
          <w:sz w:val="16"/>
          <w:szCs w:val="16"/>
        </w:rPr>
        <w:t xml:space="preserve">Preferințele de sustenabilitate se referă la alegerea clientului sau a potențialului client în ceea ce privește dacă și, dacă da, în ce măsură, unul sau mai multe dintre următoarele instrumente financiare ar trebui integrate în investiția sa: </w:t>
      </w:r>
    </w:p>
    <w:p w14:paraId="7B6C1379" w14:textId="77777777" w:rsidR="00192F20" w:rsidRPr="003519BB" w:rsidRDefault="00192F20" w:rsidP="00192F20">
      <w:pPr>
        <w:pStyle w:val="FootnoteText"/>
        <w:numPr>
          <w:ilvl w:val="0"/>
          <w:numId w:val="33"/>
        </w:numPr>
        <w:rPr>
          <w:sz w:val="16"/>
          <w:szCs w:val="16"/>
        </w:rPr>
      </w:pPr>
      <w:r w:rsidRPr="00523432">
        <w:rPr>
          <w:sz w:val="16"/>
          <w:szCs w:val="16"/>
        </w:rPr>
        <w:t xml:space="preserve">un instrument financiar pentru care clientul sau potențialul client stabilește că o cotă minimă va fi investită în investiții sustenabile din mediu, așa cum este definit la articolul 2, punctul (1) din Regulamentul (UE) 2020/852 al Parlamentului European și al Consiliului; </w:t>
      </w:r>
    </w:p>
    <w:p w14:paraId="7C34125F" w14:textId="77777777" w:rsidR="00192F20" w:rsidRPr="003519BB" w:rsidRDefault="00192F20" w:rsidP="00192F20">
      <w:pPr>
        <w:pStyle w:val="FootnoteText"/>
        <w:numPr>
          <w:ilvl w:val="0"/>
          <w:numId w:val="33"/>
        </w:numPr>
        <w:rPr>
          <w:sz w:val="16"/>
          <w:szCs w:val="16"/>
        </w:rPr>
      </w:pPr>
      <w:r w:rsidRPr="00523432">
        <w:rPr>
          <w:sz w:val="16"/>
          <w:szCs w:val="16"/>
        </w:rPr>
        <w:t xml:space="preserve">un instrument financiar pentru care clientul sau potențialul client stabilește că o pro-cotă minimă va fi investită în investiții sustenabile, așa cum este definit la articolul 2, punctul (17) din Regulamentul (UE) 2019/2088; </w:t>
      </w:r>
    </w:p>
    <w:p w14:paraId="74B1CBCE" w14:textId="77777777" w:rsidR="00192F20" w:rsidRPr="003519BB" w:rsidRDefault="00192F20" w:rsidP="00192F20">
      <w:pPr>
        <w:pStyle w:val="FootnoteText"/>
        <w:numPr>
          <w:ilvl w:val="0"/>
          <w:numId w:val="33"/>
        </w:numPr>
      </w:pPr>
      <w:r w:rsidRPr="00523432">
        <w:rPr>
          <w:sz w:val="16"/>
          <w:szCs w:val="16"/>
        </w:rPr>
        <w:t>un instrument financiar care ia în considerare principalele efecte negative asupra factorilor de sustenabilitate, unde elemente calitative sau cantitative care demonstrează această considerație sunt determinate de client sau potențial client.</w:t>
      </w:r>
    </w:p>
  </w:footnote>
  <w:footnote w:id="10">
    <w:p w14:paraId="30D4E06F" w14:textId="3156D1D0" w:rsidR="00C656CE" w:rsidRPr="003519BB" w:rsidRDefault="00C656CE">
      <w:pPr>
        <w:pStyle w:val="FootnoteText"/>
      </w:pPr>
      <w:r>
        <w:rPr>
          <w:rStyle w:val="FootnoteReference"/>
        </w:rPr>
        <w:footnoteRef/>
      </w:r>
      <w:r w:rsidRPr="009E55D9">
        <w:t xml:space="preserve"> </w:t>
      </w:r>
      <w:r w:rsidR="00C629E7" w:rsidRPr="009E55D9">
        <w:rPr>
          <w:sz w:val="16"/>
          <w:szCs w:val="16"/>
        </w:rPr>
        <w:t>https://www.ipcc.ch/site/assets/uploads/2021/02/Risk-guidance-FINAL_15Feb2021.pdf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A17F" w14:textId="77777777" w:rsidR="00094073" w:rsidRDefault="00094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FFD4" w14:textId="77777777" w:rsidR="00366348" w:rsidRDefault="00763E04">
    <w:pPr>
      <w:pStyle w:val="Header"/>
    </w:pPr>
    <w:r>
      <w:rPr>
        <w:noProof/>
      </w:rPr>
      <w:drawing>
        <wp:anchor distT="0" distB="0" distL="114300" distR="114300" simplePos="0" relativeHeight="251658240" behindDoc="0" locked="0" layoutInCell="1" allowOverlap="1" wp14:anchorId="19E59C88" wp14:editId="0C0DA7EE">
          <wp:simplePos x="0" y="0"/>
          <wp:positionH relativeFrom="column">
            <wp:posOffset>-544196</wp:posOffset>
          </wp:positionH>
          <wp:positionV relativeFrom="page">
            <wp:posOffset>-28575</wp:posOffset>
          </wp:positionV>
          <wp:extent cx="2584798" cy="1220403"/>
          <wp:effectExtent l="0" t="0" r="0" b="0"/>
          <wp:wrapNone/>
          <wp:docPr id="3" name="Immagine 3" descr="Siglă&#10;&#10;Descriere generată automa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84798" cy="12204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15" w:type="dxa"/>
      <w:tblInd w:w="4275" w:type="dxa"/>
      <w:tblLayout w:type="fixed"/>
      <w:tblCellMar>
        <w:left w:w="10" w:type="dxa"/>
        <w:right w:w="10" w:type="dxa"/>
      </w:tblCellMar>
      <w:tblLook w:val="04A0" w:firstRow="1" w:lastRow="0" w:firstColumn="1" w:lastColumn="0" w:noHBand="0" w:noVBand="1"/>
    </w:tblPr>
    <w:tblGrid>
      <w:gridCol w:w="332"/>
      <w:gridCol w:w="5883"/>
    </w:tblGrid>
    <w:tr w:rsidR="00383870" w14:paraId="1DAD950A" w14:textId="77777777" w:rsidTr="003E5DE7">
      <w:trPr>
        <w:cantSplit/>
        <w:trHeight w:hRule="exact" w:val="319"/>
      </w:trPr>
      <w:tc>
        <w:tcPr>
          <w:tcW w:w="332" w:type="dxa"/>
          <w:tcMar>
            <w:top w:w="0" w:type="dxa"/>
            <w:left w:w="0" w:type="dxa"/>
            <w:bottom w:w="0" w:type="dxa"/>
            <w:right w:w="0" w:type="dxa"/>
          </w:tcMar>
        </w:tcPr>
        <w:p w14:paraId="2B6EC6E6" w14:textId="77777777" w:rsidR="00366348" w:rsidRDefault="00366348">
          <w:pPr>
            <w:pStyle w:val="Header"/>
          </w:pPr>
        </w:p>
      </w:tc>
      <w:tc>
        <w:tcPr>
          <w:tcW w:w="5883" w:type="dxa"/>
          <w:tcMar>
            <w:top w:w="0" w:type="dxa"/>
            <w:left w:w="0" w:type="dxa"/>
            <w:bottom w:w="0" w:type="dxa"/>
            <w:right w:w="0" w:type="dxa"/>
          </w:tcMar>
        </w:tcPr>
        <w:p w14:paraId="53D140BE" w14:textId="77777777" w:rsidR="00366348" w:rsidRDefault="00366348">
          <w:pPr>
            <w:pStyle w:val="GcoverGeneraliGroup"/>
          </w:pPr>
        </w:p>
      </w:tc>
    </w:tr>
    <w:tr w:rsidR="00383870" w14:paraId="4D19D7CC" w14:textId="77777777" w:rsidTr="003E5DE7">
      <w:trPr>
        <w:cantSplit/>
        <w:trHeight w:hRule="exact" w:val="319"/>
      </w:trPr>
      <w:tc>
        <w:tcPr>
          <w:tcW w:w="332" w:type="dxa"/>
          <w:tcMar>
            <w:top w:w="0" w:type="dxa"/>
            <w:left w:w="0" w:type="dxa"/>
            <w:bottom w:w="0" w:type="dxa"/>
            <w:right w:w="0" w:type="dxa"/>
          </w:tcMar>
        </w:tcPr>
        <w:p w14:paraId="273B5635" w14:textId="77777777" w:rsidR="00366348" w:rsidRDefault="00366348">
          <w:pPr>
            <w:pStyle w:val="Header"/>
            <w:rPr>
              <w:lang w:val="en-US" w:eastAsia="en-US"/>
            </w:rPr>
          </w:pPr>
        </w:p>
      </w:tc>
      <w:tc>
        <w:tcPr>
          <w:tcW w:w="5883" w:type="dxa"/>
          <w:tcMar>
            <w:top w:w="0" w:type="dxa"/>
            <w:left w:w="0" w:type="dxa"/>
            <w:bottom w:w="0" w:type="dxa"/>
            <w:right w:w="0" w:type="dxa"/>
          </w:tcMar>
        </w:tcPr>
        <w:p w14:paraId="2A670439" w14:textId="77777777" w:rsidR="00366348" w:rsidRDefault="00366348">
          <w:pPr>
            <w:pStyle w:val="GcoverGeneraliGroup"/>
            <w:rPr>
              <w:lang w:val="en-US" w:eastAsia="en-US"/>
            </w:rPr>
          </w:pPr>
        </w:p>
      </w:tc>
    </w:tr>
    <w:tr w:rsidR="00383870" w:rsidRPr="00AC2AE5" w14:paraId="556084F8" w14:textId="77777777" w:rsidTr="00E53906">
      <w:trPr>
        <w:cantSplit/>
        <w:trHeight w:hRule="exact" w:val="3613"/>
      </w:trPr>
      <w:tc>
        <w:tcPr>
          <w:tcW w:w="332" w:type="dxa"/>
          <w:vMerge w:val="restart"/>
          <w:tcMar>
            <w:top w:w="0" w:type="dxa"/>
            <w:left w:w="0" w:type="dxa"/>
            <w:bottom w:w="0" w:type="dxa"/>
            <w:right w:w="0" w:type="dxa"/>
          </w:tcMar>
        </w:tcPr>
        <w:p w14:paraId="737885D2" w14:textId="77777777" w:rsidR="00366348" w:rsidRDefault="00366348">
          <w:pPr>
            <w:pStyle w:val="Header"/>
          </w:pPr>
        </w:p>
      </w:tc>
      <w:tc>
        <w:tcPr>
          <w:tcW w:w="5883" w:type="dxa"/>
          <w:tcMar>
            <w:top w:w="0" w:type="dxa"/>
            <w:left w:w="0" w:type="dxa"/>
            <w:bottom w:w="0" w:type="dxa"/>
            <w:right w:w="0" w:type="dxa"/>
          </w:tcMar>
        </w:tcPr>
        <w:p w14:paraId="7344B461" w14:textId="661C1AF2" w:rsidR="00366348" w:rsidRPr="00644D58" w:rsidRDefault="00280C14" w:rsidP="002D7476">
          <w:pPr>
            <w:pStyle w:val="GcoverGeneraliGroup"/>
          </w:pPr>
          <w:r w:rsidRPr="00644D58">
            <w:t>Assicurazioni Generali S.p.A.</w:t>
          </w:r>
        </w:p>
        <w:p w14:paraId="6D4248D3" w14:textId="2B3439D3" w:rsidR="00AF76AA" w:rsidRPr="003519BB" w:rsidRDefault="00EF06B6" w:rsidP="00AF76AA">
          <w:pPr>
            <w:spacing w:line="276" w:lineRule="auto"/>
            <w:rPr>
              <w:caps/>
              <w:sz w:val="36"/>
              <w:szCs w:val="32"/>
            </w:rPr>
          </w:pPr>
          <w:r>
            <w:rPr>
              <w:caps/>
              <w:sz w:val="36"/>
              <w:szCs w:val="32"/>
            </w:rPr>
            <w:t>Integrarea riscului de sustenabilitate în procesul de investiții</w:t>
          </w:r>
        </w:p>
        <w:p w14:paraId="106F81CF" w14:textId="22F0BE51" w:rsidR="00D14224" w:rsidRPr="003519BB" w:rsidRDefault="00D14224" w:rsidP="00D14224">
          <w:pPr>
            <w:spacing w:line="276" w:lineRule="auto"/>
            <w:rPr>
              <w:caps/>
              <w:sz w:val="36"/>
              <w:szCs w:val="32"/>
            </w:rPr>
          </w:pPr>
        </w:p>
        <w:p w14:paraId="66CD0656" w14:textId="4A1E57C6" w:rsidR="00366348" w:rsidRPr="003519BB" w:rsidRDefault="00366348">
          <w:pPr>
            <w:pStyle w:val="Gcoversubtitle"/>
          </w:pPr>
        </w:p>
        <w:p w14:paraId="21E19880" w14:textId="77777777" w:rsidR="00E53906" w:rsidRPr="003519BB" w:rsidRDefault="00E53906">
          <w:pPr>
            <w:pStyle w:val="Gcoversubtitle"/>
            <w:rPr>
              <w:iCs/>
              <w:sz w:val="18"/>
              <w:szCs w:val="18"/>
            </w:rPr>
          </w:pPr>
        </w:p>
        <w:p w14:paraId="6278F51F" w14:textId="1B8200B6" w:rsidR="00E53906" w:rsidRPr="003519BB" w:rsidRDefault="00E53906">
          <w:pPr>
            <w:pStyle w:val="Gcoversubtitle"/>
            <w:rPr>
              <w:b/>
              <w:bCs/>
              <w:iCs/>
              <w:sz w:val="18"/>
              <w:szCs w:val="18"/>
            </w:rPr>
          </w:pPr>
        </w:p>
      </w:tc>
    </w:tr>
    <w:tr w:rsidR="00383870" w14:paraId="08F26971" w14:textId="77777777" w:rsidTr="003E5DE7">
      <w:trPr>
        <w:cantSplit/>
        <w:trHeight w:hRule="exact" w:val="421"/>
      </w:trPr>
      <w:tc>
        <w:tcPr>
          <w:tcW w:w="332" w:type="dxa"/>
          <w:vMerge/>
          <w:tcMar>
            <w:top w:w="0" w:type="dxa"/>
            <w:left w:w="0" w:type="dxa"/>
            <w:bottom w:w="0" w:type="dxa"/>
            <w:right w:w="0" w:type="dxa"/>
          </w:tcMar>
        </w:tcPr>
        <w:p w14:paraId="72DA0EB5" w14:textId="77777777" w:rsidR="00366348" w:rsidRPr="003519BB" w:rsidRDefault="00366348">
          <w:pPr>
            <w:pStyle w:val="Header"/>
          </w:pPr>
        </w:p>
      </w:tc>
      <w:tc>
        <w:tcPr>
          <w:tcW w:w="5883" w:type="dxa"/>
          <w:tcMar>
            <w:top w:w="0" w:type="dxa"/>
            <w:left w:w="0" w:type="dxa"/>
            <w:bottom w:w="0" w:type="dxa"/>
            <w:right w:w="0" w:type="dxa"/>
          </w:tcMar>
        </w:tcPr>
        <w:p w14:paraId="3273362F" w14:textId="77777777" w:rsidR="00366348" w:rsidRDefault="00763E04">
          <w:pPr>
            <w:pStyle w:val="Gcoverwebsitesite"/>
          </w:pPr>
          <w:r>
            <w:t>generali.com</w:t>
          </w:r>
        </w:p>
      </w:tc>
    </w:tr>
  </w:tbl>
  <w:p w14:paraId="56C3C8A6" w14:textId="77777777" w:rsidR="00366348" w:rsidRDefault="00763E04">
    <w:pPr>
      <w:pStyle w:val="Header"/>
    </w:pPr>
    <w:r>
      <w:rPr>
        <w:noProof/>
      </w:rPr>
      <w:drawing>
        <wp:anchor distT="0" distB="0" distL="114300" distR="114300" simplePos="0" relativeHeight="251658241" behindDoc="0" locked="0" layoutInCell="1" allowOverlap="1" wp14:anchorId="1C92F04B" wp14:editId="4C1930C2">
          <wp:simplePos x="0" y="0"/>
          <wp:positionH relativeFrom="column">
            <wp:posOffset>-541023</wp:posOffset>
          </wp:positionH>
          <wp:positionV relativeFrom="page">
            <wp:posOffset>0</wp:posOffset>
          </wp:positionV>
          <wp:extent cx="2584798" cy="1220403"/>
          <wp:effectExtent l="0" t="0" r="0" b="0"/>
          <wp:wrapNone/>
          <wp:docPr id="5" name="Immagine 1" descr="Siglă&#10;&#10;Descriere generată automa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84798" cy="12204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C3DD" w14:textId="77777777" w:rsidR="0096392C" w:rsidRDefault="0096392C">
    <w:pPr>
      <w:pStyle w:val="Header"/>
    </w:pPr>
    <w:r>
      <w:rPr>
        <w:noProof/>
      </w:rPr>
      <w:drawing>
        <wp:anchor distT="0" distB="0" distL="114300" distR="114300" simplePos="0" relativeHeight="251658242" behindDoc="0" locked="0" layoutInCell="1" allowOverlap="1" wp14:anchorId="584CBA4B" wp14:editId="1293B441">
          <wp:simplePos x="0" y="0"/>
          <wp:positionH relativeFrom="column">
            <wp:posOffset>-541023</wp:posOffset>
          </wp:positionH>
          <wp:positionV relativeFrom="page">
            <wp:posOffset>0</wp:posOffset>
          </wp:positionV>
          <wp:extent cx="2584798" cy="1220403"/>
          <wp:effectExtent l="0" t="0" r="0" b="0"/>
          <wp:wrapNone/>
          <wp:docPr id="4" name="Immagine 1" descr="Siglă&#10;&#10;Descriere generată automa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84798" cy="122040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AC6"/>
    <w:multiLevelType w:val="hybridMultilevel"/>
    <w:tmpl w:val="9392EF94"/>
    <w:lvl w:ilvl="0" w:tplc="98C2C41C">
      <w:start w:val="1"/>
      <w:numFmt w:val="bullet"/>
      <w:lvlText w:val=""/>
      <w:lvlJc w:val="left"/>
      <w:pPr>
        <w:ind w:left="360" w:hanging="360"/>
      </w:pPr>
      <w:rPr>
        <w:rFonts w:ascii="Symbol" w:hAnsi="Symbol" w:hint="default"/>
        <w:u w:color="44546A" w:themeColor="text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8F135A9"/>
    <w:multiLevelType w:val="hybridMultilevel"/>
    <w:tmpl w:val="97588DF2"/>
    <w:lvl w:ilvl="0" w:tplc="98C2C41C">
      <w:start w:val="1"/>
      <w:numFmt w:val="bullet"/>
      <w:lvlText w:val=""/>
      <w:lvlJc w:val="left"/>
      <w:pPr>
        <w:ind w:left="720" w:hanging="360"/>
      </w:pPr>
      <w:rPr>
        <w:rFonts w:ascii="Symbol" w:hAnsi="Symbol" w:hint="default"/>
        <w:u w:color="44546A" w:themeColor="text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5C139B"/>
    <w:multiLevelType w:val="hybridMultilevel"/>
    <w:tmpl w:val="558065E6"/>
    <w:lvl w:ilvl="0" w:tplc="D616C6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FF0650"/>
    <w:multiLevelType w:val="hybridMultilevel"/>
    <w:tmpl w:val="1CB8FE8A"/>
    <w:lvl w:ilvl="0" w:tplc="B636B3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F95F5E"/>
    <w:multiLevelType w:val="multilevel"/>
    <w:tmpl w:val="D87217F0"/>
    <w:styleLink w:val="LFO7"/>
    <w:lvl w:ilvl="0">
      <w:numFmt w:val="bullet"/>
      <w:lvlText w:val=""/>
      <w:lvlJc w:val="left"/>
      <w:pPr>
        <w:ind w:left="360" w:hanging="360"/>
      </w:pPr>
      <w:rPr>
        <w:rFonts w:ascii="Symbol" w:hAnsi="Symbol"/>
        <w:caps w:val="0"/>
        <w:strike w:val="0"/>
        <w:dstrike w:val="0"/>
        <w:vanish w:val="0"/>
        <w:color w:val="BD2027"/>
        <w:position w:val="0"/>
        <w:u w:val="none"/>
        <w:vertAlign w:val="baselin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4521156"/>
    <w:multiLevelType w:val="multilevel"/>
    <w:tmpl w:val="76C8404E"/>
    <w:styleLink w:val="LFO2"/>
    <w:lvl w:ilvl="0">
      <w:numFmt w:val="bullet"/>
      <w:pStyle w:val="tabletxt3levelbullet"/>
      <w:lvlText w:val="-"/>
      <w:lvlJc w:val="left"/>
      <w:pPr>
        <w:ind w:left="720" w:hanging="360"/>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680BB7"/>
    <w:multiLevelType w:val="hybridMultilevel"/>
    <w:tmpl w:val="0F28E3D0"/>
    <w:lvl w:ilvl="0" w:tplc="65609E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F445E1"/>
    <w:multiLevelType w:val="hybridMultilevel"/>
    <w:tmpl w:val="1952C74E"/>
    <w:lvl w:ilvl="0" w:tplc="E026BCCA">
      <w:start w:val="1"/>
      <w:numFmt w:val="bullet"/>
      <w:lvlText w:val=""/>
      <w:lvlJc w:val="left"/>
      <w:pPr>
        <w:ind w:left="720" w:hanging="360"/>
      </w:pPr>
      <w:rPr>
        <w:rFonts w:ascii="Wingdings" w:hAnsi="Wingdings" w:hint="default"/>
        <w:caps w:val="0"/>
        <w:strike w:val="0"/>
        <w:dstrike w:val="0"/>
        <w:vanish w:val="0"/>
        <w:color w:val="C00000"/>
        <w:u w:val="none"/>
        <w:vertAlign w:val="baseline"/>
        <w:lang w:val="en-G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B20FF0"/>
    <w:multiLevelType w:val="multilevel"/>
    <w:tmpl w:val="2A1E0F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00C689F"/>
    <w:multiLevelType w:val="multilevel"/>
    <w:tmpl w:val="B036A78C"/>
    <w:styleLink w:val="LFO3"/>
    <w:lvl w:ilvl="0">
      <w:numFmt w:val="bullet"/>
      <w:pStyle w:val="textbullet"/>
      <w:lvlText w:val=""/>
      <w:lvlJc w:val="left"/>
      <w:pPr>
        <w:ind w:left="720" w:hanging="360"/>
      </w:pPr>
      <w:rPr>
        <w:rFonts w:ascii="Symbol" w:hAnsi="Symbol"/>
        <w:color w:val="BD2027"/>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59E385B"/>
    <w:multiLevelType w:val="hybridMultilevel"/>
    <w:tmpl w:val="73CE4A42"/>
    <w:lvl w:ilvl="0" w:tplc="E026BCCA">
      <w:start w:val="1"/>
      <w:numFmt w:val="bullet"/>
      <w:lvlText w:val=""/>
      <w:lvlJc w:val="left"/>
      <w:pPr>
        <w:ind w:left="720" w:hanging="360"/>
      </w:pPr>
      <w:rPr>
        <w:rFonts w:ascii="Wingdings" w:hAnsi="Wingdings" w:hint="default"/>
        <w:caps w:val="0"/>
        <w:strike w:val="0"/>
        <w:dstrike w:val="0"/>
        <w:vanish w:val="0"/>
        <w:color w:val="C00000"/>
        <w:u w:val="none"/>
        <w:vertAlign w:val="baseline"/>
        <w:lang w:val="en-G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841BBA"/>
    <w:multiLevelType w:val="hybridMultilevel"/>
    <w:tmpl w:val="C888BC02"/>
    <w:lvl w:ilvl="0" w:tplc="BDDC48E6">
      <w:start w:val="1"/>
      <w:numFmt w:val="bullet"/>
      <w:lvlText w:val=""/>
      <w:lvlJc w:val="left"/>
      <w:pPr>
        <w:ind w:left="720" w:hanging="360"/>
      </w:pPr>
      <w:rPr>
        <w:rFonts w:ascii="Wingdings" w:hAnsi="Wingdings" w:hint="default"/>
        <w:caps w:val="0"/>
        <w:strike w:val="0"/>
        <w:dstrike w:val="0"/>
        <w:vanish w:val="0"/>
        <w:color w:val="C00000"/>
        <w:u w:val="none"/>
        <w:vertAlign w:val="baseline"/>
        <w:lang w:val="en-GB"/>
      </w:rPr>
    </w:lvl>
    <w:lvl w:ilvl="1" w:tplc="48EE6126">
      <w:start w:val="1"/>
      <w:numFmt w:val="bullet"/>
      <w:lvlText w:val="o"/>
      <w:lvlJc w:val="left"/>
      <w:pPr>
        <w:ind w:left="1440" w:hanging="360"/>
      </w:pPr>
      <w:rPr>
        <w:rFonts w:ascii="Courier New" w:hAnsi="Courier New" w:cs="Courier New" w:hint="default"/>
        <w:lang w:val="en-GB"/>
      </w:rPr>
    </w:lvl>
    <w:lvl w:ilvl="2" w:tplc="90FEC20A">
      <w:numFmt w:val="bullet"/>
      <w:lvlText w:val="•"/>
      <w:lvlJc w:val="left"/>
      <w:pPr>
        <w:ind w:left="2160" w:hanging="360"/>
      </w:pPr>
      <w:rPr>
        <w:rFonts w:ascii="Arial" w:eastAsia="Calibr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1D1388"/>
    <w:multiLevelType w:val="hybridMultilevel"/>
    <w:tmpl w:val="C0AAE43A"/>
    <w:lvl w:ilvl="0" w:tplc="44527CF2">
      <w:start w:val="1"/>
      <w:numFmt w:val="bullet"/>
      <w:pStyle w:val="ListParagraph"/>
      <w:lvlText w:val=""/>
      <w:lvlJc w:val="left"/>
      <w:pPr>
        <w:ind w:left="720" w:hanging="360"/>
      </w:pPr>
      <w:rPr>
        <w:rFonts w:ascii="Symbol" w:hAnsi="Symbol" w:hint="default"/>
        <w:u w:color="44546A"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CB7608"/>
    <w:multiLevelType w:val="multilevel"/>
    <w:tmpl w:val="B67659E6"/>
    <w:styleLink w:val="LFO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29A441A"/>
    <w:multiLevelType w:val="hybridMultilevel"/>
    <w:tmpl w:val="49C6AFBA"/>
    <w:lvl w:ilvl="0" w:tplc="FA4E064E">
      <w:start w:val="1"/>
      <w:numFmt w:val="bullet"/>
      <w:lvlText w:val=""/>
      <w:lvlJc w:val="left"/>
      <w:pPr>
        <w:ind w:left="720" w:hanging="360"/>
      </w:pPr>
      <w:rPr>
        <w:rFonts w:ascii="Symbol" w:hAnsi="Symbol" w:hint="default"/>
        <w:u w:color="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DE7C6F"/>
    <w:multiLevelType w:val="multilevel"/>
    <w:tmpl w:val="D6ECC22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412"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8E651DA"/>
    <w:multiLevelType w:val="multilevel"/>
    <w:tmpl w:val="B5D2E6B0"/>
    <w:styleLink w:val="LFO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9A74221"/>
    <w:multiLevelType w:val="hybridMultilevel"/>
    <w:tmpl w:val="512428A4"/>
    <w:lvl w:ilvl="0" w:tplc="98C2C41C">
      <w:start w:val="1"/>
      <w:numFmt w:val="bullet"/>
      <w:lvlText w:val=""/>
      <w:lvlJc w:val="left"/>
      <w:pPr>
        <w:ind w:left="720" w:hanging="360"/>
      </w:pPr>
      <w:rPr>
        <w:rFonts w:ascii="Symbol" w:hAnsi="Symbol" w:hint="default"/>
        <w:u w:color="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3A11EF"/>
    <w:multiLevelType w:val="hybridMultilevel"/>
    <w:tmpl w:val="5294928A"/>
    <w:lvl w:ilvl="0" w:tplc="30DA72F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E3D4F91"/>
    <w:multiLevelType w:val="multilevel"/>
    <w:tmpl w:val="859E7FBA"/>
    <w:styleLink w:val="WWOutlineListStyle"/>
    <w:lvl w:ilvl="0">
      <w:start w:val="1"/>
      <w:numFmt w:val="decimal"/>
      <w:lvlText w:val="%1"/>
      <w:lvlJc w:val="left"/>
      <w:pPr>
        <w:ind w:left="360" w:hanging="360"/>
      </w:pPr>
      <w:rPr>
        <w:rFonts w:ascii="Arial" w:hAnsi="Arial"/>
        <w:b w:val="0"/>
        <w:i w:val="0"/>
        <w:caps w:val="0"/>
        <w:strike w:val="0"/>
        <w:dstrike w:val="0"/>
        <w:vanish w:val="0"/>
        <w:color w:val="BD2027"/>
        <w:position w:val="0"/>
        <w:sz w:val="36"/>
        <w:u w:val="none"/>
        <w:vertAlign w:val="baseline"/>
      </w:rPr>
    </w:lvl>
    <w:lvl w:ilvl="1">
      <w:start w:val="1"/>
      <w:numFmt w:val="decimal"/>
      <w:lvlText w:val="%1.%2"/>
      <w:lvlJc w:val="left"/>
      <w:pPr>
        <w:ind w:left="227" w:hanging="227"/>
      </w:pPr>
      <w:rPr>
        <w:rFonts w:ascii="Arial" w:hAnsi="Arial"/>
        <w:b/>
        <w:i w:val="0"/>
        <w:caps w:val="0"/>
        <w:strike w:val="0"/>
        <w:dstrike w:val="0"/>
        <w:vanish w:val="0"/>
        <w:color w:val="BD2027"/>
        <w:position w:val="0"/>
        <w:sz w:val="22"/>
        <w:u w:val="none"/>
        <w:vertAlign w:val="baseline"/>
      </w:rPr>
    </w:lvl>
    <w:lvl w:ilvl="2">
      <w:start w:val="1"/>
      <w:numFmt w:val="none"/>
      <w:lvlText w:val="%3"/>
      <w:lvlJc w:val="left"/>
      <w:rPr>
        <w:b w:val="0"/>
        <w:i w:val="0"/>
        <w:sz w:val="16"/>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55B137CB"/>
    <w:multiLevelType w:val="multilevel"/>
    <w:tmpl w:val="05D63B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8EC196C"/>
    <w:multiLevelType w:val="hybridMultilevel"/>
    <w:tmpl w:val="DA9E5E94"/>
    <w:lvl w:ilvl="0" w:tplc="E026BCCA">
      <w:start w:val="1"/>
      <w:numFmt w:val="bullet"/>
      <w:lvlText w:val=""/>
      <w:lvlJc w:val="left"/>
      <w:pPr>
        <w:ind w:left="720" w:hanging="360"/>
      </w:pPr>
      <w:rPr>
        <w:rFonts w:ascii="Wingdings" w:hAnsi="Wingdings" w:hint="default"/>
        <w:caps w:val="0"/>
        <w:strike w:val="0"/>
        <w:dstrike w:val="0"/>
        <w:vanish w:val="0"/>
        <w:color w:val="C00000"/>
        <w:u w:val="none"/>
        <w:vertAlign w:val="baseline"/>
        <w:lang w:val="en-G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316B2F"/>
    <w:multiLevelType w:val="hybridMultilevel"/>
    <w:tmpl w:val="706C5B64"/>
    <w:lvl w:ilvl="0" w:tplc="98C2C41C">
      <w:start w:val="1"/>
      <w:numFmt w:val="bullet"/>
      <w:lvlText w:val=""/>
      <w:lvlJc w:val="left"/>
      <w:pPr>
        <w:ind w:left="720" w:hanging="360"/>
      </w:pPr>
      <w:rPr>
        <w:rFonts w:ascii="Symbol" w:hAnsi="Symbol" w:hint="default"/>
        <w:u w:color="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47345E"/>
    <w:multiLevelType w:val="hybridMultilevel"/>
    <w:tmpl w:val="9862960C"/>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44202DA"/>
    <w:multiLevelType w:val="multilevel"/>
    <w:tmpl w:val="04BA9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7725F6A"/>
    <w:multiLevelType w:val="hybridMultilevel"/>
    <w:tmpl w:val="9C0AC4D0"/>
    <w:lvl w:ilvl="0" w:tplc="98C2C41C">
      <w:start w:val="1"/>
      <w:numFmt w:val="bullet"/>
      <w:lvlText w:val=""/>
      <w:lvlJc w:val="left"/>
      <w:pPr>
        <w:ind w:left="720" w:hanging="360"/>
      </w:pPr>
      <w:rPr>
        <w:rFonts w:ascii="Symbol" w:hAnsi="Symbol" w:hint="default"/>
        <w:u w:color="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B1543EA"/>
    <w:multiLevelType w:val="hybridMultilevel"/>
    <w:tmpl w:val="80083D72"/>
    <w:lvl w:ilvl="0" w:tplc="98C2C41C">
      <w:start w:val="1"/>
      <w:numFmt w:val="bullet"/>
      <w:lvlText w:val=""/>
      <w:lvlJc w:val="left"/>
      <w:pPr>
        <w:ind w:left="720" w:hanging="360"/>
      </w:pPr>
      <w:rPr>
        <w:rFonts w:ascii="Symbol" w:hAnsi="Symbol" w:hint="default"/>
        <w:u w:color="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657478F"/>
    <w:multiLevelType w:val="multilevel"/>
    <w:tmpl w:val="AA4EF284"/>
    <w:styleLink w:val="WWOutlineListStyle1"/>
    <w:lvl w:ilvl="0">
      <w:start w:val="1"/>
      <w:numFmt w:val="decimal"/>
      <w:lvlText w:val="%1"/>
      <w:lvlJc w:val="left"/>
      <w:pPr>
        <w:ind w:left="360" w:hanging="360"/>
      </w:pPr>
      <w:rPr>
        <w:rFonts w:ascii="Arial" w:hAnsi="Arial"/>
        <w:b w:val="0"/>
        <w:i w:val="0"/>
        <w:caps w:val="0"/>
        <w:strike w:val="0"/>
        <w:dstrike w:val="0"/>
        <w:vanish w:val="0"/>
        <w:color w:val="BD2027"/>
        <w:position w:val="0"/>
        <w:sz w:val="36"/>
        <w:u w:val="none"/>
        <w:vertAlign w:val="baseline"/>
      </w:rPr>
    </w:lvl>
    <w:lvl w:ilvl="1">
      <w:start w:val="1"/>
      <w:numFmt w:val="decimal"/>
      <w:lvlText w:val="%1.%2"/>
      <w:lvlJc w:val="left"/>
      <w:pPr>
        <w:ind w:left="227" w:hanging="227"/>
      </w:pPr>
      <w:rPr>
        <w:rFonts w:ascii="Arial" w:hAnsi="Arial"/>
        <w:b/>
        <w:i w:val="0"/>
        <w:caps w:val="0"/>
        <w:strike w:val="0"/>
        <w:dstrike w:val="0"/>
        <w:vanish w:val="0"/>
        <w:color w:val="BD2027"/>
        <w:position w:val="0"/>
        <w:sz w:val="22"/>
        <w:u w:val="none"/>
        <w:vertAlign w:val="baseline"/>
      </w:r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C645C88"/>
    <w:multiLevelType w:val="multilevel"/>
    <w:tmpl w:val="514C28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12383667">
    <w:abstractNumId w:val="27"/>
  </w:num>
  <w:num w:numId="2" w16cid:durableId="262500029">
    <w:abstractNumId w:val="19"/>
  </w:num>
  <w:num w:numId="3" w16cid:durableId="261110947">
    <w:abstractNumId w:val="13"/>
  </w:num>
  <w:num w:numId="4" w16cid:durableId="2112387207">
    <w:abstractNumId w:val="5"/>
  </w:num>
  <w:num w:numId="5" w16cid:durableId="635838945">
    <w:abstractNumId w:val="9"/>
  </w:num>
  <w:num w:numId="6" w16cid:durableId="1572961279">
    <w:abstractNumId w:val="4"/>
  </w:num>
  <w:num w:numId="7" w16cid:durableId="1305432953">
    <w:abstractNumId w:val="15"/>
  </w:num>
  <w:num w:numId="8" w16cid:durableId="1583568815">
    <w:abstractNumId w:val="16"/>
  </w:num>
  <w:num w:numId="9" w16cid:durableId="1122961915">
    <w:abstractNumId w:val="20"/>
  </w:num>
  <w:num w:numId="10" w16cid:durableId="1526400765">
    <w:abstractNumId w:val="8"/>
  </w:num>
  <w:num w:numId="11" w16cid:durableId="125003224">
    <w:abstractNumId w:val="28"/>
  </w:num>
  <w:num w:numId="12" w16cid:durableId="1626153091">
    <w:abstractNumId w:val="24"/>
  </w:num>
  <w:num w:numId="13" w16cid:durableId="1573395619">
    <w:abstractNumId w:val="11"/>
  </w:num>
  <w:num w:numId="14" w16cid:durableId="1113130702">
    <w:abstractNumId w:val="7"/>
  </w:num>
  <w:num w:numId="15" w16cid:durableId="191185092">
    <w:abstractNumId w:val="10"/>
  </w:num>
  <w:num w:numId="16" w16cid:durableId="1486705289">
    <w:abstractNumId w:val="21"/>
  </w:num>
  <w:num w:numId="17" w16cid:durableId="1315833546">
    <w:abstractNumId w:val="2"/>
  </w:num>
  <w:num w:numId="18" w16cid:durableId="1918392935">
    <w:abstractNumId w:val="2"/>
  </w:num>
  <w:num w:numId="19" w16cid:durableId="1379284692">
    <w:abstractNumId w:val="6"/>
  </w:num>
  <w:num w:numId="20" w16cid:durableId="120926254">
    <w:abstractNumId w:val="3"/>
  </w:num>
  <w:num w:numId="21" w16cid:durableId="1599025944">
    <w:abstractNumId w:val="23"/>
  </w:num>
  <w:num w:numId="22" w16cid:durableId="568082136">
    <w:abstractNumId w:val="17"/>
  </w:num>
  <w:num w:numId="23" w16cid:durableId="1787046657">
    <w:abstractNumId w:val="0"/>
  </w:num>
  <w:num w:numId="24" w16cid:durableId="1061828420">
    <w:abstractNumId w:val="3"/>
  </w:num>
  <w:num w:numId="25" w16cid:durableId="1926642410">
    <w:abstractNumId w:val="3"/>
  </w:num>
  <w:num w:numId="26" w16cid:durableId="1035737217">
    <w:abstractNumId w:val="25"/>
  </w:num>
  <w:num w:numId="27" w16cid:durableId="1484616072">
    <w:abstractNumId w:val="3"/>
  </w:num>
  <w:num w:numId="28" w16cid:durableId="1380786800">
    <w:abstractNumId w:val="14"/>
  </w:num>
  <w:num w:numId="29" w16cid:durableId="1168054897">
    <w:abstractNumId w:val="14"/>
  </w:num>
  <w:num w:numId="30" w16cid:durableId="462037803">
    <w:abstractNumId w:val="14"/>
  </w:num>
  <w:num w:numId="31" w16cid:durableId="484707943">
    <w:abstractNumId w:val="26"/>
  </w:num>
  <w:num w:numId="32" w16cid:durableId="878201661">
    <w:abstractNumId w:val="22"/>
  </w:num>
  <w:num w:numId="33" w16cid:durableId="818888868">
    <w:abstractNumId w:val="1"/>
  </w:num>
  <w:num w:numId="34" w16cid:durableId="563494167">
    <w:abstractNumId w:val="18"/>
  </w:num>
  <w:num w:numId="35" w16cid:durableId="1810630692">
    <w:abstractNumId w:val="12"/>
  </w:num>
  <w:num w:numId="36" w16cid:durableId="84111728">
    <w:abstractNumId w:val="12"/>
  </w:num>
  <w:num w:numId="37" w16cid:durableId="56206490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08"/>
    <w:rsid w:val="00005715"/>
    <w:rsid w:val="0000792F"/>
    <w:rsid w:val="00015888"/>
    <w:rsid w:val="00021C57"/>
    <w:rsid w:val="00022F03"/>
    <w:rsid w:val="00023C34"/>
    <w:rsid w:val="00024B2D"/>
    <w:rsid w:val="0002660B"/>
    <w:rsid w:val="00032660"/>
    <w:rsid w:val="000352BB"/>
    <w:rsid w:val="00036E99"/>
    <w:rsid w:val="0003732F"/>
    <w:rsid w:val="00054463"/>
    <w:rsid w:val="00055710"/>
    <w:rsid w:val="00055B91"/>
    <w:rsid w:val="00060194"/>
    <w:rsid w:val="00060B60"/>
    <w:rsid w:val="00065C42"/>
    <w:rsid w:val="00072B6C"/>
    <w:rsid w:val="00076A5A"/>
    <w:rsid w:val="00081E6B"/>
    <w:rsid w:val="000836E1"/>
    <w:rsid w:val="00083AF1"/>
    <w:rsid w:val="00085575"/>
    <w:rsid w:val="00086B58"/>
    <w:rsid w:val="00087A4F"/>
    <w:rsid w:val="00092D99"/>
    <w:rsid w:val="00093179"/>
    <w:rsid w:val="000938E6"/>
    <w:rsid w:val="00094073"/>
    <w:rsid w:val="00095371"/>
    <w:rsid w:val="000A0CDF"/>
    <w:rsid w:val="000A3DA3"/>
    <w:rsid w:val="000A4745"/>
    <w:rsid w:val="000A71D4"/>
    <w:rsid w:val="000B0C77"/>
    <w:rsid w:val="000B1AD5"/>
    <w:rsid w:val="000B6448"/>
    <w:rsid w:val="000C0E5A"/>
    <w:rsid w:val="000C1022"/>
    <w:rsid w:val="000C234D"/>
    <w:rsid w:val="000D0234"/>
    <w:rsid w:val="000D0BF9"/>
    <w:rsid w:val="000D5512"/>
    <w:rsid w:val="000D60D3"/>
    <w:rsid w:val="000D6B6F"/>
    <w:rsid w:val="000E3730"/>
    <w:rsid w:val="000E3B31"/>
    <w:rsid w:val="000E588D"/>
    <w:rsid w:val="000F5B03"/>
    <w:rsid w:val="000F6BB3"/>
    <w:rsid w:val="001022F5"/>
    <w:rsid w:val="00112A4C"/>
    <w:rsid w:val="0011308D"/>
    <w:rsid w:val="001134C4"/>
    <w:rsid w:val="00115729"/>
    <w:rsid w:val="0011582A"/>
    <w:rsid w:val="00116B5D"/>
    <w:rsid w:val="00121B9C"/>
    <w:rsid w:val="00127352"/>
    <w:rsid w:val="0013548D"/>
    <w:rsid w:val="001378AE"/>
    <w:rsid w:val="001429D2"/>
    <w:rsid w:val="001445AF"/>
    <w:rsid w:val="0014690C"/>
    <w:rsid w:val="00150D29"/>
    <w:rsid w:val="001616D2"/>
    <w:rsid w:val="001713A0"/>
    <w:rsid w:val="00172420"/>
    <w:rsid w:val="001735E0"/>
    <w:rsid w:val="00186E67"/>
    <w:rsid w:val="001901DF"/>
    <w:rsid w:val="00192307"/>
    <w:rsid w:val="001923E0"/>
    <w:rsid w:val="00192F20"/>
    <w:rsid w:val="0019731F"/>
    <w:rsid w:val="001A454A"/>
    <w:rsid w:val="001A6454"/>
    <w:rsid w:val="001A6FDD"/>
    <w:rsid w:val="001A7862"/>
    <w:rsid w:val="001B02C3"/>
    <w:rsid w:val="001B1322"/>
    <w:rsid w:val="001B24FD"/>
    <w:rsid w:val="001B2995"/>
    <w:rsid w:val="001B57DF"/>
    <w:rsid w:val="001B646E"/>
    <w:rsid w:val="001B7F32"/>
    <w:rsid w:val="001C49EA"/>
    <w:rsid w:val="001C7843"/>
    <w:rsid w:val="001D118D"/>
    <w:rsid w:val="001D2780"/>
    <w:rsid w:val="001D300D"/>
    <w:rsid w:val="001D4395"/>
    <w:rsid w:val="001D6647"/>
    <w:rsid w:val="001D6708"/>
    <w:rsid w:val="001E0318"/>
    <w:rsid w:val="001E0DA8"/>
    <w:rsid w:val="001E14D9"/>
    <w:rsid w:val="001E4AFA"/>
    <w:rsid w:val="001E6BED"/>
    <w:rsid w:val="001E7666"/>
    <w:rsid w:val="001F26AD"/>
    <w:rsid w:val="00204300"/>
    <w:rsid w:val="00204498"/>
    <w:rsid w:val="002051C7"/>
    <w:rsid w:val="00211EB6"/>
    <w:rsid w:val="00211F61"/>
    <w:rsid w:val="002146E2"/>
    <w:rsid w:val="002240EB"/>
    <w:rsid w:val="00225346"/>
    <w:rsid w:val="00225F95"/>
    <w:rsid w:val="00230FD3"/>
    <w:rsid w:val="00236BEA"/>
    <w:rsid w:val="00241C0E"/>
    <w:rsid w:val="00241D86"/>
    <w:rsid w:val="00243D8C"/>
    <w:rsid w:val="00250EBA"/>
    <w:rsid w:val="00253DBD"/>
    <w:rsid w:val="00254F7E"/>
    <w:rsid w:val="002554B1"/>
    <w:rsid w:val="00257526"/>
    <w:rsid w:val="00257D73"/>
    <w:rsid w:val="00260741"/>
    <w:rsid w:val="00260A27"/>
    <w:rsid w:val="00264078"/>
    <w:rsid w:val="002651C5"/>
    <w:rsid w:val="002661D3"/>
    <w:rsid w:val="00266D40"/>
    <w:rsid w:val="00272BB9"/>
    <w:rsid w:val="00273CD1"/>
    <w:rsid w:val="0028034E"/>
    <w:rsid w:val="00280C14"/>
    <w:rsid w:val="00281450"/>
    <w:rsid w:val="00281ED9"/>
    <w:rsid w:val="0028201F"/>
    <w:rsid w:val="00290A2C"/>
    <w:rsid w:val="002921B3"/>
    <w:rsid w:val="00292591"/>
    <w:rsid w:val="002938D7"/>
    <w:rsid w:val="00293E47"/>
    <w:rsid w:val="00294957"/>
    <w:rsid w:val="002A02C0"/>
    <w:rsid w:val="002A2485"/>
    <w:rsid w:val="002A5752"/>
    <w:rsid w:val="002A5D67"/>
    <w:rsid w:val="002B2ABF"/>
    <w:rsid w:val="002B2FE8"/>
    <w:rsid w:val="002B4149"/>
    <w:rsid w:val="002B70CA"/>
    <w:rsid w:val="002B71B1"/>
    <w:rsid w:val="002C5D6E"/>
    <w:rsid w:val="002C64A1"/>
    <w:rsid w:val="002C7ECD"/>
    <w:rsid w:val="002D09DC"/>
    <w:rsid w:val="002D0D76"/>
    <w:rsid w:val="002D3F2B"/>
    <w:rsid w:val="002D7476"/>
    <w:rsid w:val="002E3BA2"/>
    <w:rsid w:val="002E5810"/>
    <w:rsid w:val="002F5092"/>
    <w:rsid w:val="002F5EA3"/>
    <w:rsid w:val="00301537"/>
    <w:rsid w:val="00301FB6"/>
    <w:rsid w:val="0030283B"/>
    <w:rsid w:val="003038C3"/>
    <w:rsid w:val="0030413B"/>
    <w:rsid w:val="0030798F"/>
    <w:rsid w:val="00310D7E"/>
    <w:rsid w:val="00311212"/>
    <w:rsid w:val="00311E77"/>
    <w:rsid w:val="003149ED"/>
    <w:rsid w:val="00320B09"/>
    <w:rsid w:val="003225B0"/>
    <w:rsid w:val="00323069"/>
    <w:rsid w:val="00334088"/>
    <w:rsid w:val="00337989"/>
    <w:rsid w:val="00343A13"/>
    <w:rsid w:val="00345BA3"/>
    <w:rsid w:val="00345F02"/>
    <w:rsid w:val="00347E31"/>
    <w:rsid w:val="003519BB"/>
    <w:rsid w:val="003552E2"/>
    <w:rsid w:val="00355536"/>
    <w:rsid w:val="00357070"/>
    <w:rsid w:val="00361869"/>
    <w:rsid w:val="00363DF8"/>
    <w:rsid w:val="00366348"/>
    <w:rsid w:val="0036782C"/>
    <w:rsid w:val="003741FB"/>
    <w:rsid w:val="00376FC1"/>
    <w:rsid w:val="00380A6C"/>
    <w:rsid w:val="00381206"/>
    <w:rsid w:val="00382D42"/>
    <w:rsid w:val="003846A0"/>
    <w:rsid w:val="00385BEF"/>
    <w:rsid w:val="003871B2"/>
    <w:rsid w:val="00391F27"/>
    <w:rsid w:val="00397724"/>
    <w:rsid w:val="003A0281"/>
    <w:rsid w:val="003A384E"/>
    <w:rsid w:val="003B345A"/>
    <w:rsid w:val="003B6A56"/>
    <w:rsid w:val="003C0B33"/>
    <w:rsid w:val="003C1AED"/>
    <w:rsid w:val="003C1B0F"/>
    <w:rsid w:val="003C2A90"/>
    <w:rsid w:val="003C33F2"/>
    <w:rsid w:val="003C4357"/>
    <w:rsid w:val="003C52CA"/>
    <w:rsid w:val="003C5C17"/>
    <w:rsid w:val="003D15B3"/>
    <w:rsid w:val="003D1763"/>
    <w:rsid w:val="003D49EE"/>
    <w:rsid w:val="003D5234"/>
    <w:rsid w:val="003D6A2F"/>
    <w:rsid w:val="003E08BA"/>
    <w:rsid w:val="003E54A3"/>
    <w:rsid w:val="003E5DE7"/>
    <w:rsid w:val="003E63B1"/>
    <w:rsid w:val="003F16B1"/>
    <w:rsid w:val="003F5259"/>
    <w:rsid w:val="003F57D6"/>
    <w:rsid w:val="00404546"/>
    <w:rsid w:val="0042142F"/>
    <w:rsid w:val="0042206F"/>
    <w:rsid w:val="00427269"/>
    <w:rsid w:val="00427C73"/>
    <w:rsid w:val="00431AAA"/>
    <w:rsid w:val="00431C63"/>
    <w:rsid w:val="0043425A"/>
    <w:rsid w:val="0043522F"/>
    <w:rsid w:val="00441BCE"/>
    <w:rsid w:val="00445DE1"/>
    <w:rsid w:val="00450EF1"/>
    <w:rsid w:val="00450EFB"/>
    <w:rsid w:val="004519E7"/>
    <w:rsid w:val="00454B76"/>
    <w:rsid w:val="0046179F"/>
    <w:rsid w:val="00467D3B"/>
    <w:rsid w:val="004713BB"/>
    <w:rsid w:val="004728DC"/>
    <w:rsid w:val="00475C64"/>
    <w:rsid w:val="00475E6A"/>
    <w:rsid w:val="00477870"/>
    <w:rsid w:val="00477D97"/>
    <w:rsid w:val="004821E8"/>
    <w:rsid w:val="0048514A"/>
    <w:rsid w:val="004851A8"/>
    <w:rsid w:val="004876C2"/>
    <w:rsid w:val="00495794"/>
    <w:rsid w:val="004A2D1C"/>
    <w:rsid w:val="004A799F"/>
    <w:rsid w:val="004B5041"/>
    <w:rsid w:val="004B54EC"/>
    <w:rsid w:val="004C4F33"/>
    <w:rsid w:val="004C7544"/>
    <w:rsid w:val="004C77C9"/>
    <w:rsid w:val="004D2053"/>
    <w:rsid w:val="004D57D4"/>
    <w:rsid w:val="004D5A41"/>
    <w:rsid w:val="004E33C2"/>
    <w:rsid w:val="004E456B"/>
    <w:rsid w:val="004E6471"/>
    <w:rsid w:val="004E6BCD"/>
    <w:rsid w:val="004E7DF0"/>
    <w:rsid w:val="004F6CBF"/>
    <w:rsid w:val="00500A80"/>
    <w:rsid w:val="00502172"/>
    <w:rsid w:val="005034BB"/>
    <w:rsid w:val="00512021"/>
    <w:rsid w:val="0051203E"/>
    <w:rsid w:val="00515D36"/>
    <w:rsid w:val="005163DE"/>
    <w:rsid w:val="005174A5"/>
    <w:rsid w:val="00523432"/>
    <w:rsid w:val="00524666"/>
    <w:rsid w:val="00526C67"/>
    <w:rsid w:val="0052764C"/>
    <w:rsid w:val="005342D3"/>
    <w:rsid w:val="00543419"/>
    <w:rsid w:val="00555C79"/>
    <w:rsid w:val="00556160"/>
    <w:rsid w:val="00557708"/>
    <w:rsid w:val="00560040"/>
    <w:rsid w:val="00561E6E"/>
    <w:rsid w:val="005651F1"/>
    <w:rsid w:val="00566DC7"/>
    <w:rsid w:val="00574C34"/>
    <w:rsid w:val="005831F3"/>
    <w:rsid w:val="00583DA6"/>
    <w:rsid w:val="00591A50"/>
    <w:rsid w:val="00595DCB"/>
    <w:rsid w:val="0059674A"/>
    <w:rsid w:val="005973A5"/>
    <w:rsid w:val="005A42C4"/>
    <w:rsid w:val="005A463E"/>
    <w:rsid w:val="005B1C05"/>
    <w:rsid w:val="005B2B86"/>
    <w:rsid w:val="005C04A5"/>
    <w:rsid w:val="005C6488"/>
    <w:rsid w:val="005C6705"/>
    <w:rsid w:val="005D0ECD"/>
    <w:rsid w:val="005D257F"/>
    <w:rsid w:val="005D2E14"/>
    <w:rsid w:val="005D31AF"/>
    <w:rsid w:val="005D7A04"/>
    <w:rsid w:val="005D7F00"/>
    <w:rsid w:val="005E3897"/>
    <w:rsid w:val="005E4E45"/>
    <w:rsid w:val="005E518C"/>
    <w:rsid w:val="005E56F2"/>
    <w:rsid w:val="005E5F5F"/>
    <w:rsid w:val="005F0EA0"/>
    <w:rsid w:val="005F609F"/>
    <w:rsid w:val="005F7297"/>
    <w:rsid w:val="005F72C6"/>
    <w:rsid w:val="006004F0"/>
    <w:rsid w:val="0060051C"/>
    <w:rsid w:val="0060390C"/>
    <w:rsid w:val="006107FF"/>
    <w:rsid w:val="006123BF"/>
    <w:rsid w:val="00614095"/>
    <w:rsid w:val="00615506"/>
    <w:rsid w:val="006174BB"/>
    <w:rsid w:val="006258D2"/>
    <w:rsid w:val="006261A4"/>
    <w:rsid w:val="00627CD4"/>
    <w:rsid w:val="00627EC3"/>
    <w:rsid w:val="006358EE"/>
    <w:rsid w:val="0063688C"/>
    <w:rsid w:val="006449B6"/>
    <w:rsid w:val="00644D58"/>
    <w:rsid w:val="00646252"/>
    <w:rsid w:val="00650468"/>
    <w:rsid w:val="00652990"/>
    <w:rsid w:val="00653764"/>
    <w:rsid w:val="006541AB"/>
    <w:rsid w:val="00661832"/>
    <w:rsid w:val="00664081"/>
    <w:rsid w:val="006661D1"/>
    <w:rsid w:val="00671C55"/>
    <w:rsid w:val="00677139"/>
    <w:rsid w:val="00680DFA"/>
    <w:rsid w:val="006813E2"/>
    <w:rsid w:val="006946D1"/>
    <w:rsid w:val="006A03A7"/>
    <w:rsid w:val="006A101B"/>
    <w:rsid w:val="006A1088"/>
    <w:rsid w:val="006A1764"/>
    <w:rsid w:val="006A20F4"/>
    <w:rsid w:val="006A5C30"/>
    <w:rsid w:val="006B0084"/>
    <w:rsid w:val="006B1964"/>
    <w:rsid w:val="006B23D8"/>
    <w:rsid w:val="006B3215"/>
    <w:rsid w:val="006B47B0"/>
    <w:rsid w:val="006B4E49"/>
    <w:rsid w:val="006B5707"/>
    <w:rsid w:val="006B6C70"/>
    <w:rsid w:val="006C1DCA"/>
    <w:rsid w:val="006C5C03"/>
    <w:rsid w:val="006D08BF"/>
    <w:rsid w:val="006D1E8B"/>
    <w:rsid w:val="006D3DA6"/>
    <w:rsid w:val="006D58D9"/>
    <w:rsid w:val="006D791D"/>
    <w:rsid w:val="006E0508"/>
    <w:rsid w:val="006E244A"/>
    <w:rsid w:val="006E2926"/>
    <w:rsid w:val="006E39A3"/>
    <w:rsid w:val="006E47AD"/>
    <w:rsid w:val="006F48DB"/>
    <w:rsid w:val="00702B25"/>
    <w:rsid w:val="00704E42"/>
    <w:rsid w:val="00705434"/>
    <w:rsid w:val="00706BA7"/>
    <w:rsid w:val="007131E5"/>
    <w:rsid w:val="007143C0"/>
    <w:rsid w:val="0071568F"/>
    <w:rsid w:val="00715F60"/>
    <w:rsid w:val="007237B5"/>
    <w:rsid w:val="00725248"/>
    <w:rsid w:val="00726D90"/>
    <w:rsid w:val="0072700A"/>
    <w:rsid w:val="00730F4F"/>
    <w:rsid w:val="00731778"/>
    <w:rsid w:val="0073290B"/>
    <w:rsid w:val="0073367A"/>
    <w:rsid w:val="00733852"/>
    <w:rsid w:val="00750B7E"/>
    <w:rsid w:val="00754237"/>
    <w:rsid w:val="007612AA"/>
    <w:rsid w:val="00762121"/>
    <w:rsid w:val="00763E04"/>
    <w:rsid w:val="007642BA"/>
    <w:rsid w:val="0076787B"/>
    <w:rsid w:val="0077576D"/>
    <w:rsid w:val="00777D79"/>
    <w:rsid w:val="0078218B"/>
    <w:rsid w:val="0078460E"/>
    <w:rsid w:val="00784D11"/>
    <w:rsid w:val="00784EBF"/>
    <w:rsid w:val="007904D5"/>
    <w:rsid w:val="007A29C9"/>
    <w:rsid w:val="007B1F6F"/>
    <w:rsid w:val="007B6277"/>
    <w:rsid w:val="007C0624"/>
    <w:rsid w:val="007C0EC0"/>
    <w:rsid w:val="007C43C5"/>
    <w:rsid w:val="007D1DCD"/>
    <w:rsid w:val="007D44D4"/>
    <w:rsid w:val="007D5F85"/>
    <w:rsid w:val="007D652C"/>
    <w:rsid w:val="007D6BF7"/>
    <w:rsid w:val="007E23B4"/>
    <w:rsid w:val="007E32D5"/>
    <w:rsid w:val="007E4C7A"/>
    <w:rsid w:val="007E4F0D"/>
    <w:rsid w:val="007F414C"/>
    <w:rsid w:val="007F5FBC"/>
    <w:rsid w:val="007F6645"/>
    <w:rsid w:val="0080019C"/>
    <w:rsid w:val="00805EA4"/>
    <w:rsid w:val="008071EC"/>
    <w:rsid w:val="008078C7"/>
    <w:rsid w:val="0081081D"/>
    <w:rsid w:val="00813CE4"/>
    <w:rsid w:val="00820292"/>
    <w:rsid w:val="00820497"/>
    <w:rsid w:val="00820D67"/>
    <w:rsid w:val="008212DD"/>
    <w:rsid w:val="00824D36"/>
    <w:rsid w:val="008254DB"/>
    <w:rsid w:val="0082728C"/>
    <w:rsid w:val="008307BE"/>
    <w:rsid w:val="00832A30"/>
    <w:rsid w:val="00832E8E"/>
    <w:rsid w:val="008454D7"/>
    <w:rsid w:val="0084581D"/>
    <w:rsid w:val="00852A7B"/>
    <w:rsid w:val="00855522"/>
    <w:rsid w:val="00856D00"/>
    <w:rsid w:val="00872034"/>
    <w:rsid w:val="00872CBD"/>
    <w:rsid w:val="0087606C"/>
    <w:rsid w:val="00876B0D"/>
    <w:rsid w:val="00882992"/>
    <w:rsid w:val="008855AC"/>
    <w:rsid w:val="00893801"/>
    <w:rsid w:val="00894766"/>
    <w:rsid w:val="008A0476"/>
    <w:rsid w:val="008A4128"/>
    <w:rsid w:val="008A59D3"/>
    <w:rsid w:val="008A6050"/>
    <w:rsid w:val="008A734F"/>
    <w:rsid w:val="008B255E"/>
    <w:rsid w:val="008B279E"/>
    <w:rsid w:val="008B5601"/>
    <w:rsid w:val="008B7F85"/>
    <w:rsid w:val="008C1CB0"/>
    <w:rsid w:val="008C4C6D"/>
    <w:rsid w:val="008D06CC"/>
    <w:rsid w:val="008D36A6"/>
    <w:rsid w:val="008D659A"/>
    <w:rsid w:val="008E002E"/>
    <w:rsid w:val="008E1E5E"/>
    <w:rsid w:val="008E2D06"/>
    <w:rsid w:val="008E53DF"/>
    <w:rsid w:val="008E5B9E"/>
    <w:rsid w:val="008F02F3"/>
    <w:rsid w:val="008F150D"/>
    <w:rsid w:val="008F7F7C"/>
    <w:rsid w:val="009001D9"/>
    <w:rsid w:val="009020FF"/>
    <w:rsid w:val="00907096"/>
    <w:rsid w:val="00911A64"/>
    <w:rsid w:val="00917FFB"/>
    <w:rsid w:val="00933BD0"/>
    <w:rsid w:val="009406CC"/>
    <w:rsid w:val="00940B2A"/>
    <w:rsid w:val="00940FB4"/>
    <w:rsid w:val="00941960"/>
    <w:rsid w:val="00942439"/>
    <w:rsid w:val="00944BA0"/>
    <w:rsid w:val="00946C61"/>
    <w:rsid w:val="00963443"/>
    <w:rsid w:val="0096392C"/>
    <w:rsid w:val="009657E1"/>
    <w:rsid w:val="0096588D"/>
    <w:rsid w:val="00966F47"/>
    <w:rsid w:val="00980D4C"/>
    <w:rsid w:val="00981D04"/>
    <w:rsid w:val="00984826"/>
    <w:rsid w:val="00984A5C"/>
    <w:rsid w:val="00984C59"/>
    <w:rsid w:val="00985D5A"/>
    <w:rsid w:val="00990D73"/>
    <w:rsid w:val="00991B14"/>
    <w:rsid w:val="00991CB7"/>
    <w:rsid w:val="00994562"/>
    <w:rsid w:val="00994860"/>
    <w:rsid w:val="00995657"/>
    <w:rsid w:val="00995DEA"/>
    <w:rsid w:val="00996E13"/>
    <w:rsid w:val="009A69AE"/>
    <w:rsid w:val="009B22C5"/>
    <w:rsid w:val="009B5C04"/>
    <w:rsid w:val="009B77DF"/>
    <w:rsid w:val="009D0065"/>
    <w:rsid w:val="009D0D6C"/>
    <w:rsid w:val="009D2703"/>
    <w:rsid w:val="009D4202"/>
    <w:rsid w:val="009D4D2D"/>
    <w:rsid w:val="009D7680"/>
    <w:rsid w:val="009E2350"/>
    <w:rsid w:val="009E309F"/>
    <w:rsid w:val="009E55D9"/>
    <w:rsid w:val="009F33DB"/>
    <w:rsid w:val="009F6845"/>
    <w:rsid w:val="00A04850"/>
    <w:rsid w:val="00A05329"/>
    <w:rsid w:val="00A0537C"/>
    <w:rsid w:val="00A06B88"/>
    <w:rsid w:val="00A22D23"/>
    <w:rsid w:val="00A24287"/>
    <w:rsid w:val="00A24D2E"/>
    <w:rsid w:val="00A26D18"/>
    <w:rsid w:val="00A31236"/>
    <w:rsid w:val="00A31402"/>
    <w:rsid w:val="00A350A3"/>
    <w:rsid w:val="00A41F15"/>
    <w:rsid w:val="00A420F3"/>
    <w:rsid w:val="00A42263"/>
    <w:rsid w:val="00A52E78"/>
    <w:rsid w:val="00A546B5"/>
    <w:rsid w:val="00A5793A"/>
    <w:rsid w:val="00A662AA"/>
    <w:rsid w:val="00A9316D"/>
    <w:rsid w:val="00A95C6E"/>
    <w:rsid w:val="00A95E95"/>
    <w:rsid w:val="00A96565"/>
    <w:rsid w:val="00AA196A"/>
    <w:rsid w:val="00AA239D"/>
    <w:rsid w:val="00AA2E79"/>
    <w:rsid w:val="00AA3946"/>
    <w:rsid w:val="00AA6F34"/>
    <w:rsid w:val="00AB068C"/>
    <w:rsid w:val="00AB420C"/>
    <w:rsid w:val="00AB4B47"/>
    <w:rsid w:val="00AB66F6"/>
    <w:rsid w:val="00AB6899"/>
    <w:rsid w:val="00AB746E"/>
    <w:rsid w:val="00AC2AE5"/>
    <w:rsid w:val="00AC2EC7"/>
    <w:rsid w:val="00AC30C2"/>
    <w:rsid w:val="00AC529A"/>
    <w:rsid w:val="00AE48AF"/>
    <w:rsid w:val="00AF1645"/>
    <w:rsid w:val="00AF480E"/>
    <w:rsid w:val="00AF58FD"/>
    <w:rsid w:val="00AF652B"/>
    <w:rsid w:val="00AF6CFE"/>
    <w:rsid w:val="00AF76AA"/>
    <w:rsid w:val="00B05DCD"/>
    <w:rsid w:val="00B07761"/>
    <w:rsid w:val="00B105F3"/>
    <w:rsid w:val="00B1248A"/>
    <w:rsid w:val="00B16944"/>
    <w:rsid w:val="00B22D03"/>
    <w:rsid w:val="00B23271"/>
    <w:rsid w:val="00B2725C"/>
    <w:rsid w:val="00B346F4"/>
    <w:rsid w:val="00B379A2"/>
    <w:rsid w:val="00B6049A"/>
    <w:rsid w:val="00B63A74"/>
    <w:rsid w:val="00B63DA3"/>
    <w:rsid w:val="00B645DA"/>
    <w:rsid w:val="00B75281"/>
    <w:rsid w:val="00B755F2"/>
    <w:rsid w:val="00B82C7A"/>
    <w:rsid w:val="00B83314"/>
    <w:rsid w:val="00B85B59"/>
    <w:rsid w:val="00B8663C"/>
    <w:rsid w:val="00B877B4"/>
    <w:rsid w:val="00B87C4F"/>
    <w:rsid w:val="00B90293"/>
    <w:rsid w:val="00B91624"/>
    <w:rsid w:val="00B97E3E"/>
    <w:rsid w:val="00BA628B"/>
    <w:rsid w:val="00BA7EF9"/>
    <w:rsid w:val="00BB4F85"/>
    <w:rsid w:val="00BB5768"/>
    <w:rsid w:val="00BC2905"/>
    <w:rsid w:val="00BC64D2"/>
    <w:rsid w:val="00BD1D9F"/>
    <w:rsid w:val="00BD7326"/>
    <w:rsid w:val="00BE0043"/>
    <w:rsid w:val="00BE0511"/>
    <w:rsid w:val="00BE12AF"/>
    <w:rsid w:val="00BE2B91"/>
    <w:rsid w:val="00BE3AA4"/>
    <w:rsid w:val="00BE5BC3"/>
    <w:rsid w:val="00BE7FFC"/>
    <w:rsid w:val="00BF055A"/>
    <w:rsid w:val="00BF11BF"/>
    <w:rsid w:val="00BF3F39"/>
    <w:rsid w:val="00C00575"/>
    <w:rsid w:val="00C0069F"/>
    <w:rsid w:val="00C01EFF"/>
    <w:rsid w:val="00C15DC6"/>
    <w:rsid w:val="00C165B5"/>
    <w:rsid w:val="00C170BE"/>
    <w:rsid w:val="00C2492D"/>
    <w:rsid w:val="00C24F8D"/>
    <w:rsid w:val="00C3079A"/>
    <w:rsid w:val="00C434D7"/>
    <w:rsid w:val="00C45F49"/>
    <w:rsid w:val="00C50688"/>
    <w:rsid w:val="00C52AC7"/>
    <w:rsid w:val="00C569F7"/>
    <w:rsid w:val="00C629E7"/>
    <w:rsid w:val="00C656CE"/>
    <w:rsid w:val="00C6644F"/>
    <w:rsid w:val="00C70BE4"/>
    <w:rsid w:val="00C756D5"/>
    <w:rsid w:val="00C75F94"/>
    <w:rsid w:val="00C80D7F"/>
    <w:rsid w:val="00C84042"/>
    <w:rsid w:val="00C873B4"/>
    <w:rsid w:val="00C92D5C"/>
    <w:rsid w:val="00C94A0F"/>
    <w:rsid w:val="00C9547B"/>
    <w:rsid w:val="00CA16ED"/>
    <w:rsid w:val="00CA2FB2"/>
    <w:rsid w:val="00CA3AB8"/>
    <w:rsid w:val="00CA4E11"/>
    <w:rsid w:val="00CA4F44"/>
    <w:rsid w:val="00CA7A27"/>
    <w:rsid w:val="00CA7FE2"/>
    <w:rsid w:val="00CB079A"/>
    <w:rsid w:val="00CB203D"/>
    <w:rsid w:val="00CB28E1"/>
    <w:rsid w:val="00CB2E04"/>
    <w:rsid w:val="00CB63F3"/>
    <w:rsid w:val="00CB7B0A"/>
    <w:rsid w:val="00CC0A3F"/>
    <w:rsid w:val="00CC332D"/>
    <w:rsid w:val="00CC381C"/>
    <w:rsid w:val="00CD2228"/>
    <w:rsid w:val="00CD306F"/>
    <w:rsid w:val="00CD7F35"/>
    <w:rsid w:val="00CE196E"/>
    <w:rsid w:val="00CE2787"/>
    <w:rsid w:val="00CE599E"/>
    <w:rsid w:val="00CE7969"/>
    <w:rsid w:val="00CF3EAC"/>
    <w:rsid w:val="00CF68BF"/>
    <w:rsid w:val="00CF6CEE"/>
    <w:rsid w:val="00D00E5C"/>
    <w:rsid w:val="00D0370F"/>
    <w:rsid w:val="00D05221"/>
    <w:rsid w:val="00D06DCF"/>
    <w:rsid w:val="00D11FC2"/>
    <w:rsid w:val="00D14224"/>
    <w:rsid w:val="00D15199"/>
    <w:rsid w:val="00D251D7"/>
    <w:rsid w:val="00D25E5D"/>
    <w:rsid w:val="00D26187"/>
    <w:rsid w:val="00D30D75"/>
    <w:rsid w:val="00D333C0"/>
    <w:rsid w:val="00D33F71"/>
    <w:rsid w:val="00D34838"/>
    <w:rsid w:val="00D4346A"/>
    <w:rsid w:val="00D47B29"/>
    <w:rsid w:val="00D51756"/>
    <w:rsid w:val="00D57A34"/>
    <w:rsid w:val="00D60ED5"/>
    <w:rsid w:val="00D63AE3"/>
    <w:rsid w:val="00D64750"/>
    <w:rsid w:val="00D66A68"/>
    <w:rsid w:val="00D66BF3"/>
    <w:rsid w:val="00D7249F"/>
    <w:rsid w:val="00D728E1"/>
    <w:rsid w:val="00D75098"/>
    <w:rsid w:val="00D773CB"/>
    <w:rsid w:val="00D820AC"/>
    <w:rsid w:val="00D8262C"/>
    <w:rsid w:val="00D84D51"/>
    <w:rsid w:val="00D924E7"/>
    <w:rsid w:val="00D94A59"/>
    <w:rsid w:val="00D96C9A"/>
    <w:rsid w:val="00D97A05"/>
    <w:rsid w:val="00DA0BFA"/>
    <w:rsid w:val="00DA0DF1"/>
    <w:rsid w:val="00DA1B6F"/>
    <w:rsid w:val="00DA25A6"/>
    <w:rsid w:val="00DA3358"/>
    <w:rsid w:val="00DA6B81"/>
    <w:rsid w:val="00DA758E"/>
    <w:rsid w:val="00DA7C26"/>
    <w:rsid w:val="00DB0263"/>
    <w:rsid w:val="00DB0395"/>
    <w:rsid w:val="00DB4C85"/>
    <w:rsid w:val="00DB66B4"/>
    <w:rsid w:val="00DC2503"/>
    <w:rsid w:val="00DC6C37"/>
    <w:rsid w:val="00DC7D0C"/>
    <w:rsid w:val="00DD1421"/>
    <w:rsid w:val="00DD2A5B"/>
    <w:rsid w:val="00DD7E6D"/>
    <w:rsid w:val="00DE1B06"/>
    <w:rsid w:val="00DE34D9"/>
    <w:rsid w:val="00DE5F9C"/>
    <w:rsid w:val="00DE6EA7"/>
    <w:rsid w:val="00DF11D9"/>
    <w:rsid w:val="00DF3725"/>
    <w:rsid w:val="00DF6751"/>
    <w:rsid w:val="00DF7513"/>
    <w:rsid w:val="00E00CE2"/>
    <w:rsid w:val="00E02BF3"/>
    <w:rsid w:val="00E02E02"/>
    <w:rsid w:val="00E10540"/>
    <w:rsid w:val="00E16A22"/>
    <w:rsid w:val="00E227DF"/>
    <w:rsid w:val="00E2472C"/>
    <w:rsid w:val="00E256EF"/>
    <w:rsid w:val="00E31529"/>
    <w:rsid w:val="00E3334F"/>
    <w:rsid w:val="00E33C19"/>
    <w:rsid w:val="00E343FC"/>
    <w:rsid w:val="00E35E41"/>
    <w:rsid w:val="00E4039D"/>
    <w:rsid w:val="00E40AFB"/>
    <w:rsid w:val="00E5364A"/>
    <w:rsid w:val="00E53906"/>
    <w:rsid w:val="00E541F1"/>
    <w:rsid w:val="00E56DC1"/>
    <w:rsid w:val="00E60302"/>
    <w:rsid w:val="00E60C74"/>
    <w:rsid w:val="00E6414C"/>
    <w:rsid w:val="00E66F46"/>
    <w:rsid w:val="00E716B6"/>
    <w:rsid w:val="00E71AA9"/>
    <w:rsid w:val="00E7554A"/>
    <w:rsid w:val="00E803E3"/>
    <w:rsid w:val="00E81986"/>
    <w:rsid w:val="00E9032E"/>
    <w:rsid w:val="00E906BC"/>
    <w:rsid w:val="00E921D1"/>
    <w:rsid w:val="00E94B51"/>
    <w:rsid w:val="00EA0C5A"/>
    <w:rsid w:val="00EA6A2C"/>
    <w:rsid w:val="00EA72AF"/>
    <w:rsid w:val="00EA7CE9"/>
    <w:rsid w:val="00EB163B"/>
    <w:rsid w:val="00EB514B"/>
    <w:rsid w:val="00EB62CD"/>
    <w:rsid w:val="00EB69EB"/>
    <w:rsid w:val="00EC07B0"/>
    <w:rsid w:val="00EC0DA2"/>
    <w:rsid w:val="00EC65DF"/>
    <w:rsid w:val="00ED049A"/>
    <w:rsid w:val="00ED19F6"/>
    <w:rsid w:val="00ED50AE"/>
    <w:rsid w:val="00ED7C0F"/>
    <w:rsid w:val="00EE0365"/>
    <w:rsid w:val="00EF06B6"/>
    <w:rsid w:val="00EF477C"/>
    <w:rsid w:val="00F04B68"/>
    <w:rsid w:val="00F05E1D"/>
    <w:rsid w:val="00F11D2C"/>
    <w:rsid w:val="00F1630E"/>
    <w:rsid w:val="00F16741"/>
    <w:rsid w:val="00F16E2A"/>
    <w:rsid w:val="00F17D69"/>
    <w:rsid w:val="00F228E7"/>
    <w:rsid w:val="00F23788"/>
    <w:rsid w:val="00F245A2"/>
    <w:rsid w:val="00F2758B"/>
    <w:rsid w:val="00F27BBA"/>
    <w:rsid w:val="00F32813"/>
    <w:rsid w:val="00F40F86"/>
    <w:rsid w:val="00F42FD1"/>
    <w:rsid w:val="00F44908"/>
    <w:rsid w:val="00F45A61"/>
    <w:rsid w:val="00F479D8"/>
    <w:rsid w:val="00F577AD"/>
    <w:rsid w:val="00F6371A"/>
    <w:rsid w:val="00F65F85"/>
    <w:rsid w:val="00F669F6"/>
    <w:rsid w:val="00F672B4"/>
    <w:rsid w:val="00F70611"/>
    <w:rsid w:val="00F70742"/>
    <w:rsid w:val="00F72598"/>
    <w:rsid w:val="00F80E7F"/>
    <w:rsid w:val="00F819DA"/>
    <w:rsid w:val="00F81FCC"/>
    <w:rsid w:val="00F820EB"/>
    <w:rsid w:val="00F833A1"/>
    <w:rsid w:val="00F84569"/>
    <w:rsid w:val="00F90B4B"/>
    <w:rsid w:val="00F969D9"/>
    <w:rsid w:val="00FA116D"/>
    <w:rsid w:val="00FA1FC2"/>
    <w:rsid w:val="00FA5F8A"/>
    <w:rsid w:val="00FB0B5C"/>
    <w:rsid w:val="00FB323E"/>
    <w:rsid w:val="00FB5F90"/>
    <w:rsid w:val="00FC1005"/>
    <w:rsid w:val="00FC61B2"/>
    <w:rsid w:val="00FC71D9"/>
    <w:rsid w:val="00FD0C1A"/>
    <w:rsid w:val="00FD3003"/>
    <w:rsid w:val="00FD424B"/>
    <w:rsid w:val="00FD48A7"/>
    <w:rsid w:val="00FD4A39"/>
    <w:rsid w:val="00FD5894"/>
    <w:rsid w:val="00FD6DEF"/>
    <w:rsid w:val="00FD7A12"/>
    <w:rsid w:val="00FE7644"/>
    <w:rsid w:val="00FF542F"/>
    <w:rsid w:val="00FF5ECB"/>
    <w:rsid w:val="00FF6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57BA"/>
  <w15:docId w15:val="{8D70F0D0-5E6C-4805-A57B-DAAEA7DF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Regular" w:eastAsia="Arial Regular" w:hAnsi="Arial Regular" w:cs="Times New Roman"/>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before="220" w:after="220" w:line="220" w:lineRule="exact"/>
      <w:contextualSpacing/>
    </w:pPr>
    <w:rPr>
      <w:rFonts w:ascii="Arial" w:eastAsia="Times New Roman" w:hAnsi="Arial"/>
      <w:color w:val="000000"/>
      <w:sz w:val="18"/>
      <w:lang w:val="it-IT" w:eastAsia="it-IT"/>
    </w:rPr>
  </w:style>
  <w:style w:type="paragraph" w:styleId="Heading1">
    <w:name w:val="heading 1"/>
    <w:next w:val="Normal"/>
    <w:uiPriority w:val="9"/>
    <w:qFormat/>
    <w:pPr>
      <w:keepNext/>
      <w:keepLines/>
      <w:numPr>
        <w:numId w:val="7"/>
      </w:numPr>
      <w:suppressAutoHyphens/>
      <w:spacing w:after="220" w:line="440" w:lineRule="exact"/>
      <w:contextualSpacing/>
      <w:outlineLvl w:val="0"/>
    </w:pPr>
    <w:rPr>
      <w:rFonts w:ascii="Arial" w:eastAsia="Times New Roman" w:hAnsi="Arial"/>
      <w:color w:val="BD2027"/>
      <w:sz w:val="36"/>
      <w:szCs w:val="36"/>
      <w:lang w:val="it-IT" w:eastAsia="it-IT"/>
    </w:rPr>
  </w:style>
  <w:style w:type="paragraph" w:styleId="Heading2">
    <w:name w:val="heading 2"/>
    <w:basedOn w:val="Normal"/>
    <w:next w:val="Normal"/>
    <w:uiPriority w:val="9"/>
    <w:unhideWhenUsed/>
    <w:qFormat/>
    <w:pPr>
      <w:widowControl/>
      <w:numPr>
        <w:ilvl w:val="1"/>
        <w:numId w:val="7"/>
      </w:numPr>
      <w:ind w:left="576"/>
      <w:outlineLvl w:val="1"/>
    </w:pPr>
    <w:rPr>
      <w:b/>
      <w:caps/>
      <w:color w:val="BD2027"/>
      <w:sz w:val="22"/>
      <w:szCs w:val="22"/>
    </w:rPr>
  </w:style>
  <w:style w:type="paragraph" w:styleId="Heading3">
    <w:name w:val="heading 3"/>
    <w:basedOn w:val="Normal"/>
    <w:next w:val="Normal"/>
    <w:uiPriority w:val="9"/>
    <w:unhideWhenUsed/>
    <w:qFormat/>
    <w:pPr>
      <w:keepNext/>
      <w:keepLines/>
      <w:numPr>
        <w:ilvl w:val="2"/>
        <w:numId w:val="7"/>
      </w:numPr>
      <w:outlineLvl w:val="2"/>
    </w:pPr>
    <w:rPr>
      <w:rFonts w:eastAsia="Arial Italic"/>
      <w:b/>
      <w:bCs/>
      <w:color w:val="BD2027"/>
    </w:rPr>
  </w:style>
  <w:style w:type="paragraph" w:styleId="Heading4">
    <w:name w:val="heading 4"/>
    <w:basedOn w:val="Normal"/>
    <w:next w:val="Normal"/>
    <w:link w:val="Heading4Char"/>
    <w:uiPriority w:val="9"/>
    <w:semiHidden/>
    <w:unhideWhenUsed/>
    <w:qFormat/>
    <w:rsid w:val="00D84D51"/>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36A6"/>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D36A6"/>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D36A6"/>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D36A6"/>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36A6"/>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styleId="TOCHeading">
    <w:name w:val="TOC Heading"/>
    <w:basedOn w:val="Heading1"/>
    <w:next w:val="Normal"/>
    <w:uiPriority w:val="39"/>
    <w:unhideWhenUsed/>
    <w:qFormat/>
    <w:rsid w:val="006B47B0"/>
    <w:pPr>
      <w:numPr>
        <w:numId w:val="0"/>
      </w:numPr>
      <w:suppressAutoHyphens w:val="0"/>
      <w:autoSpaceDN/>
      <w:spacing w:before="240" w:after="0" w:line="259" w:lineRule="auto"/>
      <w:contextualSpacing w:val="0"/>
      <w:outlineLvl w:val="9"/>
    </w:pPr>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32813"/>
    <w:pPr>
      <w:autoSpaceDN/>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link w:val="FootnoteText"/>
    <w:uiPriority w:val="99"/>
    <w:rsid w:val="00F32813"/>
    <w:rPr>
      <w:rFonts w:ascii="Arial" w:eastAsia="Times New Roman" w:hAnsi="Arial"/>
      <w:color w:val="000000"/>
      <w:sz w:val="20"/>
      <w:szCs w:val="20"/>
      <w:lang w:val="it-IT" w:eastAsia="it-IT"/>
    </w:rPr>
  </w:style>
  <w:style w:type="character" w:customStyle="1" w:styleId="Heading1Char">
    <w:name w:val="Heading 1 Char"/>
    <w:basedOn w:val="DefaultParagraphFont"/>
    <w:rPr>
      <w:rFonts w:ascii="Arial" w:eastAsia="Times New Roman" w:hAnsi="Arial" w:cs="Times New Roman"/>
      <w:color w:val="BD2027"/>
      <w:sz w:val="36"/>
      <w:szCs w:val="36"/>
      <w:lang w:val="it-IT" w:eastAsia="it-IT"/>
    </w:rPr>
  </w:style>
  <w:style w:type="character" w:customStyle="1" w:styleId="Heading2Char">
    <w:name w:val="Heading 2 Char"/>
    <w:basedOn w:val="DefaultParagraphFont"/>
    <w:rPr>
      <w:rFonts w:ascii="Arial" w:eastAsia="Times New Roman" w:hAnsi="Arial" w:cs="Times New Roman"/>
      <w:b/>
      <w:caps/>
      <w:color w:val="BD2027"/>
      <w:sz w:val="22"/>
      <w:szCs w:val="22"/>
      <w:lang w:val="it-IT" w:eastAsia="it-IT"/>
    </w:rPr>
  </w:style>
  <w:style w:type="character" w:customStyle="1" w:styleId="Heading3Char">
    <w:name w:val="Heading 3 Char"/>
    <w:basedOn w:val="DefaultParagraphFont"/>
    <w:rPr>
      <w:rFonts w:ascii="Arial" w:eastAsia="Arial Italic" w:hAnsi="Arial" w:cs="Times New Roman"/>
      <w:b/>
      <w:bCs/>
      <w:color w:val="BD2027"/>
      <w:sz w:val="18"/>
      <w:lang w:val="it-IT" w:eastAsia="it-IT"/>
    </w:rPr>
  </w:style>
  <w:style w:type="character" w:styleId="PlaceholderText">
    <w:name w:val="Placeholder Text"/>
    <w:basedOn w:val="DefaultParagraphFont"/>
    <w:rPr>
      <w:color w:val="808080"/>
    </w:rPr>
  </w:style>
  <w:style w:type="paragraph" w:customStyle="1" w:styleId="interlinea0">
    <w:name w:val="interlinea 0"/>
    <w:pPr>
      <w:suppressAutoHyphens/>
    </w:pPr>
    <w:rPr>
      <w:rFonts w:ascii="Arial" w:eastAsia="Times New Roman" w:hAnsi="Arial"/>
      <w:b/>
      <w:color w:val="000000"/>
      <w:sz w:val="2"/>
      <w:szCs w:val="12"/>
      <w:lang w:val="it-IT" w:eastAsia="it-IT"/>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Arial" w:eastAsia="Times New Roman" w:hAnsi="Arial" w:cs="Times New Roman"/>
      <w:color w:val="000000"/>
      <w:sz w:val="18"/>
      <w:lang w:val="it-IT" w:eastAsia="it-IT"/>
    </w:rPr>
  </w:style>
  <w:style w:type="paragraph" w:styleId="Footer">
    <w:name w:val="footer"/>
    <w:basedOn w:val="Normal"/>
    <w:link w:val="FooterChar1"/>
    <w:autoRedefine/>
    <w:uiPriority w:val="99"/>
    <w:rsid w:val="00DA758E"/>
    <w:pPr>
      <w:tabs>
        <w:tab w:val="center" w:pos="4320"/>
        <w:tab w:val="right" w:pos="8640"/>
      </w:tabs>
      <w:spacing w:before="0" w:after="0" w:line="240" w:lineRule="auto"/>
    </w:pPr>
    <w:rPr>
      <w:b/>
      <w:sz w:val="14"/>
      <w:szCs w:val="12"/>
    </w:rPr>
  </w:style>
  <w:style w:type="character" w:customStyle="1" w:styleId="FooterChar">
    <w:name w:val="Footer Char"/>
    <w:basedOn w:val="DefaultParagraphFont"/>
    <w:rPr>
      <w:rFonts w:ascii="Arial" w:eastAsia="Times New Roman" w:hAnsi="Arial" w:cs="Times New Roman"/>
      <w:b/>
      <w:color w:val="000000"/>
      <w:sz w:val="14"/>
      <w:szCs w:val="12"/>
      <w:lang w:val="it-IT" w:eastAsia="it-IT"/>
    </w:rPr>
  </w:style>
  <w:style w:type="paragraph" w:styleId="BalloonText">
    <w:name w:val="Balloon Text"/>
    <w:basedOn w:val="Normal"/>
    <w:rPr>
      <w:rFonts w:ascii="Lucida Grande" w:hAnsi="Lucida Grande" w:cs="Lucida Grande"/>
      <w:szCs w:val="18"/>
    </w:rPr>
  </w:style>
  <w:style w:type="character" w:customStyle="1" w:styleId="BalloonTextChar">
    <w:name w:val="Balloon Text Char"/>
    <w:basedOn w:val="DefaultParagraphFont"/>
    <w:rPr>
      <w:rFonts w:ascii="Lucida Grande" w:eastAsia="Times New Roman" w:hAnsi="Lucida Grande" w:cs="Lucida Grande"/>
      <w:color w:val="000000"/>
      <w:sz w:val="18"/>
      <w:szCs w:val="18"/>
      <w:lang w:val="it-IT" w:eastAsia="it-IT"/>
    </w:rPr>
  </w:style>
  <w:style w:type="character" w:customStyle="1" w:styleId="Bold">
    <w:name w:val="Bold"/>
    <w:basedOn w:val="DefaultParagraphFont"/>
    <w:rPr>
      <w:b/>
    </w:rPr>
  </w:style>
  <w:style w:type="paragraph" w:customStyle="1" w:styleId="DataPressreleasered">
    <w:name w:val="Data_Pressrelease_red"/>
    <w:pPr>
      <w:suppressAutoHyphens/>
      <w:spacing w:line="192" w:lineRule="exact"/>
    </w:pPr>
    <w:rPr>
      <w:rFonts w:ascii="Arial" w:eastAsia="Times New Roman" w:hAnsi="Arial"/>
      <w:color w:val="BD2027"/>
      <w:sz w:val="18"/>
      <w:lang w:val="it-IT" w:eastAsia="it-IT"/>
    </w:rPr>
  </w:style>
  <w:style w:type="character" w:styleId="FootnoteReference">
    <w:name w:val="footnote reference"/>
    <w:uiPriority w:val="99"/>
    <w:rPr>
      <w:rFonts w:ascii="Arial" w:hAnsi="Arial"/>
      <w:position w:val="0"/>
      <w:sz w:val="14"/>
      <w:shd w:val="clear" w:color="auto" w:fill="auto"/>
      <w:vertAlign w:val="superscript"/>
    </w:rPr>
  </w:style>
  <w:style w:type="paragraph" w:customStyle="1" w:styleId="Gaddress">
    <w:name w:val="G_address"/>
    <w:autoRedefine/>
    <w:pPr>
      <w:suppressAutoHyphens/>
      <w:spacing w:line="160" w:lineRule="exact"/>
    </w:pPr>
    <w:rPr>
      <w:rFonts w:ascii="Arial" w:eastAsia="Times New Roman" w:hAnsi="Arial"/>
      <w:color w:val="000000"/>
      <w:sz w:val="12"/>
      <w:szCs w:val="12"/>
      <w:lang w:val="it-IT" w:eastAsia="it-IT"/>
    </w:rPr>
  </w:style>
  <w:style w:type="paragraph" w:customStyle="1" w:styleId="Gcitydate">
    <w:name w:val="G_city/date"/>
    <w:autoRedefine/>
    <w:pPr>
      <w:suppressAutoHyphens/>
      <w:spacing w:line="220" w:lineRule="exact"/>
    </w:pPr>
    <w:rPr>
      <w:rFonts w:ascii="Arial" w:eastAsia="Times New Roman" w:hAnsi="Arial"/>
      <w:color w:val="000000"/>
      <w:sz w:val="18"/>
      <w:lang w:val="it-IT" w:eastAsia="it-IT"/>
    </w:rPr>
  </w:style>
  <w:style w:type="paragraph" w:customStyle="1" w:styleId="Gfootnote">
    <w:name w:val="G_footnote"/>
    <w:autoRedefine/>
    <w:pPr>
      <w:suppressAutoHyphens/>
      <w:spacing w:before="220" w:line="168" w:lineRule="exact"/>
      <w:ind w:left="91" w:hanging="91"/>
    </w:pPr>
    <w:rPr>
      <w:rFonts w:ascii="Arial" w:eastAsia="Times New Roman" w:hAnsi="Arial"/>
      <w:color w:val="000000"/>
      <w:sz w:val="14"/>
      <w:szCs w:val="14"/>
      <w:lang w:val="it-IT" w:eastAsia="it-IT"/>
    </w:rPr>
  </w:style>
  <w:style w:type="character" w:customStyle="1" w:styleId="grassetto">
    <w:name w:val="grassetto"/>
    <w:basedOn w:val="DefaultParagraphFont"/>
    <w:rPr>
      <w:b/>
    </w:rPr>
  </w:style>
  <w:style w:type="character" w:styleId="Hyperlink">
    <w:name w:val="Hyperlink"/>
    <w:basedOn w:val="DefaultParagraphFont"/>
    <w:uiPriority w:val="99"/>
    <w:rPr>
      <w:color w:val="BD2027"/>
      <w:u w:val="single"/>
    </w:rPr>
  </w:style>
  <w:style w:type="character" w:customStyle="1" w:styleId="italico">
    <w:name w:val="italico"/>
    <w:basedOn w:val="DefaultParagraphFont"/>
    <w:uiPriority w:val="1"/>
    <w:qFormat/>
    <w:rPr>
      <w:i/>
    </w:rPr>
  </w:style>
  <w:style w:type="paragraph" w:styleId="ListParagraph">
    <w:name w:val="List Paragraph"/>
    <w:aliases w:val="text bullet,List Numbers,Paragrafo elenco.text bullet liv. 2,text bullet liv. 2,Paragrafo elenco.text bullet liv. 21,Colorful List - Accent 11,Testo elenco,List Paragraph1,Paragrafo elenco;text bullet liv. 2,Generali Bullet"/>
    <w:basedOn w:val="Normal"/>
    <w:link w:val="ListParagraphChar"/>
    <w:autoRedefine/>
    <w:uiPriority w:val="34"/>
    <w:qFormat/>
    <w:rsid w:val="00DA758E"/>
    <w:pPr>
      <w:widowControl/>
      <w:numPr>
        <w:numId w:val="35"/>
      </w:numPr>
      <w:suppressAutoHyphens w:val="0"/>
      <w:autoSpaceDN/>
      <w:spacing w:before="0" w:after="120" w:line="276" w:lineRule="auto"/>
      <w:contextualSpacing w:val="0"/>
      <w:jc w:val="both"/>
    </w:pPr>
  </w:style>
  <w:style w:type="paragraph" w:customStyle="1" w:styleId="Tablenote">
    <w:name w:val="Table note"/>
    <w:pPr>
      <w:tabs>
        <w:tab w:val="left" w:pos="2939"/>
      </w:tabs>
      <w:suppressAutoHyphens/>
      <w:spacing w:before="180" w:line="180" w:lineRule="exact"/>
    </w:pPr>
    <w:rPr>
      <w:rFonts w:ascii="Arial" w:eastAsia="Times New Roman" w:hAnsi="Arial"/>
      <w:color w:val="000000"/>
      <w:sz w:val="14"/>
      <w:szCs w:val="14"/>
      <w:lang w:val="it-IT" w:eastAsia="it-IT"/>
    </w:rPr>
  </w:style>
  <w:style w:type="paragraph" w:customStyle="1" w:styleId="Tabletitle">
    <w:name w:val="Table title"/>
    <w:autoRedefine/>
    <w:pPr>
      <w:suppressAutoHyphens/>
      <w:spacing w:line="220" w:lineRule="exact"/>
    </w:pPr>
    <w:rPr>
      <w:rFonts w:ascii="Arial" w:eastAsia="Times New Roman" w:hAnsi="Arial"/>
      <w:b/>
      <w:color w:val="BD2027"/>
      <w:sz w:val="18"/>
      <w:lang w:val="it-IT" w:eastAsia="it-IT"/>
    </w:rPr>
  </w:style>
  <w:style w:type="paragraph" w:customStyle="1" w:styleId="tabletxt1level">
    <w:name w:val="table txt 1 level"/>
    <w:basedOn w:val="Tabletitle"/>
    <w:autoRedefine/>
    <w:pPr>
      <w:tabs>
        <w:tab w:val="left" w:pos="2939"/>
      </w:tabs>
      <w:spacing w:line="160" w:lineRule="exact"/>
    </w:pPr>
    <w:rPr>
      <w:b w:val="0"/>
      <w:color w:val="000000"/>
      <w:sz w:val="16"/>
      <w:szCs w:val="16"/>
    </w:rPr>
  </w:style>
  <w:style w:type="paragraph" w:customStyle="1" w:styleId="Tabletxt2levelbullet">
    <w:name w:val="Table txt 2 level_bullet"/>
    <w:basedOn w:val="tabletxt1level"/>
    <w:autoRedefine/>
    <w:qFormat/>
    <w:rsid w:val="00B05DCD"/>
    <w:pPr>
      <w:autoSpaceDN/>
      <w:ind w:left="27"/>
      <w:jc w:val="both"/>
    </w:pPr>
    <w:rPr>
      <w:rFonts w:cs="Arial"/>
      <w:color w:val="auto"/>
      <w:sz w:val="18"/>
      <w:szCs w:val="18"/>
      <w:lang w:val="en-GB"/>
    </w:rPr>
  </w:style>
  <w:style w:type="paragraph" w:customStyle="1" w:styleId="tabletxt3levelbullet">
    <w:name w:val="table txt 3 level_bullet"/>
    <w:basedOn w:val="tabletxt1level"/>
    <w:autoRedefine/>
    <w:pPr>
      <w:numPr>
        <w:numId w:val="4"/>
      </w:numPr>
    </w:pPr>
  </w:style>
  <w:style w:type="paragraph" w:customStyle="1" w:styleId="textbullet">
    <w:name w:val="text_bullet"/>
    <w:basedOn w:val="ListParagraph"/>
    <w:autoRedefine/>
    <w:qFormat/>
    <w:pPr>
      <w:framePr w:wrap="around" w:hAnchor="text"/>
      <w:numPr>
        <w:numId w:val="5"/>
      </w:numPr>
    </w:pPr>
    <w:rPr>
      <w:szCs w:val="18"/>
    </w:rPr>
  </w:style>
  <w:style w:type="paragraph" w:customStyle="1" w:styleId="GcoverGeneraliGroup">
    <w:name w:val="G_cover_Generali Group"/>
    <w:pPr>
      <w:tabs>
        <w:tab w:val="left" w:pos="3517"/>
      </w:tabs>
      <w:suppressAutoHyphens/>
      <w:spacing w:line="320" w:lineRule="exact"/>
    </w:pPr>
    <w:rPr>
      <w:rFonts w:ascii="Arial" w:eastAsia="Times New Roman" w:hAnsi="Arial"/>
      <w:b/>
      <w:color w:val="000000"/>
      <w:sz w:val="32"/>
      <w:szCs w:val="32"/>
      <w:lang w:val="it-IT" w:eastAsia="it-IT"/>
    </w:rPr>
  </w:style>
  <w:style w:type="character" w:customStyle="1" w:styleId="GcoverGeneraliGroupCarattere">
    <w:name w:val="G_cover_Generali Group Carattere"/>
    <w:basedOn w:val="DefaultParagraphFont"/>
    <w:rPr>
      <w:rFonts w:ascii="Arial" w:eastAsia="Times New Roman" w:hAnsi="Arial" w:cs="Times New Roman"/>
      <w:b/>
      <w:color w:val="000000"/>
      <w:sz w:val="32"/>
      <w:szCs w:val="32"/>
      <w:lang w:val="it-IT" w:eastAsia="it-IT"/>
    </w:rPr>
  </w:style>
  <w:style w:type="paragraph" w:customStyle="1" w:styleId="GcoverTitle">
    <w:name w:val="G cover Title"/>
    <w:basedOn w:val="GcoverGeneraliGroup"/>
    <w:pPr>
      <w:spacing w:line="440" w:lineRule="exact"/>
    </w:pPr>
    <w:rPr>
      <w:b w:val="0"/>
      <w:caps/>
      <w:sz w:val="36"/>
    </w:rPr>
  </w:style>
  <w:style w:type="paragraph" w:customStyle="1" w:styleId="Gcoversubtitle">
    <w:name w:val="G cover_subtitle"/>
    <w:basedOn w:val="GcoverTitle"/>
    <w:qFormat/>
    <w:pPr>
      <w:spacing w:line="280" w:lineRule="exact"/>
    </w:pPr>
    <w:rPr>
      <w:caps w:val="0"/>
      <w:sz w:val="22"/>
    </w:rPr>
  </w:style>
  <w:style w:type="paragraph" w:customStyle="1" w:styleId="Gcoverwebsitesite">
    <w:name w:val="G_cover_websitesite"/>
    <w:pPr>
      <w:suppressAutoHyphens/>
    </w:pPr>
    <w:rPr>
      <w:rFonts w:ascii="Arial" w:eastAsia="Times New Roman" w:hAnsi="Arial"/>
      <w:color w:val="BD2027"/>
      <w:sz w:val="18"/>
      <w:lang w:val="it-IT" w:eastAsia="it-IT"/>
    </w:rPr>
  </w:style>
  <w:style w:type="paragraph" w:customStyle="1" w:styleId="Gindextitle">
    <w:name w:val="G_index_title"/>
    <w:qFormat/>
    <w:pPr>
      <w:suppressAutoHyphens/>
      <w:spacing w:after="440" w:line="220" w:lineRule="exact"/>
    </w:pPr>
    <w:rPr>
      <w:rFonts w:ascii="Arial" w:eastAsia="Times New Roman" w:hAnsi="Arial"/>
      <w:b/>
      <w:caps/>
      <w:color w:val="BD2027"/>
      <w:sz w:val="22"/>
      <w:lang w:val="it-IT" w:eastAsia="it-IT"/>
    </w:rPr>
  </w:style>
  <w:style w:type="paragraph" w:styleId="FootnoteText">
    <w:name w:val="footnote text"/>
    <w:basedOn w:val="Normal"/>
    <w:link w:val="FootnoteTextChar1"/>
    <w:uiPriority w:val="99"/>
    <w:pPr>
      <w:spacing w:before="0" w:after="0" w:line="240" w:lineRule="auto"/>
    </w:pPr>
    <w:rPr>
      <w:sz w:val="20"/>
      <w:szCs w:val="20"/>
    </w:rPr>
  </w:style>
  <w:style w:type="character" w:customStyle="1" w:styleId="FootnoteTextChar">
    <w:name w:val="Footnote Text Char"/>
    <w:basedOn w:val="DefaultParagraphFont"/>
    <w:uiPriority w:val="99"/>
    <w:rPr>
      <w:rFonts w:ascii="Arial" w:eastAsia="Times New Roman" w:hAnsi="Arial" w:cs="Times New Roman"/>
      <w:color w:val="000000"/>
      <w:sz w:val="20"/>
      <w:szCs w:val="20"/>
      <w:lang w:val="it-IT" w:eastAsia="it-IT"/>
    </w:rPr>
  </w:style>
  <w:style w:type="paragraph" w:customStyle="1" w:styleId="IntroductionTitle">
    <w:name w:val="Introduction Title"/>
    <w:pPr>
      <w:suppressAutoHyphens/>
      <w:spacing w:after="220"/>
      <w:contextualSpacing/>
    </w:pPr>
    <w:rPr>
      <w:rFonts w:ascii="Arial" w:eastAsia="Times New Roman" w:hAnsi="Arial"/>
      <w:color w:val="BD2027"/>
      <w:sz w:val="36"/>
      <w:szCs w:val="36"/>
      <w:lang w:val="it-IT" w:eastAsia="it-IT"/>
    </w:rPr>
  </w:style>
  <w:style w:type="paragraph" w:styleId="TOC2">
    <w:name w:val="toc 2"/>
    <w:basedOn w:val="Normal"/>
    <w:next w:val="Normal"/>
    <w:autoRedefine/>
    <w:uiPriority w:val="39"/>
    <w:rsid w:val="00BE0043"/>
    <w:pPr>
      <w:tabs>
        <w:tab w:val="left" w:pos="360"/>
        <w:tab w:val="right" w:pos="10206"/>
      </w:tabs>
      <w:spacing w:before="0" w:after="0" w:line="240" w:lineRule="auto"/>
      <w:contextualSpacing w:val="0"/>
    </w:pPr>
    <w:rPr>
      <w:noProof/>
      <w:szCs w:val="20"/>
      <w:lang w:val="en-US"/>
    </w:rPr>
  </w:style>
  <w:style w:type="paragraph" w:styleId="TOC1">
    <w:name w:val="toc 1"/>
    <w:basedOn w:val="Normal"/>
    <w:next w:val="TOC2"/>
    <w:autoRedefine/>
    <w:uiPriority w:val="39"/>
    <w:rsid w:val="002A02C0"/>
    <w:pPr>
      <w:tabs>
        <w:tab w:val="left" w:pos="357"/>
        <w:tab w:val="right" w:leader="dot" w:pos="10188"/>
      </w:tabs>
      <w:spacing w:line="240" w:lineRule="auto"/>
      <w:contextualSpacing w:val="0"/>
    </w:pPr>
    <w:rPr>
      <w:b/>
      <w:bCs/>
      <w:noProof/>
      <w:lang w:val="en-US"/>
    </w:rPr>
  </w:style>
  <w:style w:type="paragraph" w:styleId="TOC3">
    <w:name w:val="toc 3"/>
    <w:basedOn w:val="Normal"/>
    <w:next w:val="Normal"/>
    <w:autoRedefine/>
    <w:uiPriority w:val="39"/>
    <w:pPr>
      <w:spacing w:after="0"/>
      <w:ind w:left="357"/>
    </w:pPr>
  </w:style>
  <w:style w:type="paragraph" w:styleId="TOC4">
    <w:name w:val="toc 4"/>
    <w:basedOn w:val="Normal"/>
    <w:next w:val="Normal"/>
    <w:autoRedefine/>
    <w:pPr>
      <w:ind w:left="540"/>
    </w:pPr>
  </w:style>
  <w:style w:type="paragraph" w:styleId="TOC5">
    <w:name w:val="toc 5"/>
    <w:basedOn w:val="Normal"/>
    <w:next w:val="Normal"/>
    <w:autoRedefine/>
    <w:pPr>
      <w:ind w:left="720"/>
    </w:pPr>
  </w:style>
  <w:style w:type="paragraph" w:styleId="TOC6">
    <w:name w:val="toc 6"/>
    <w:basedOn w:val="Normal"/>
    <w:next w:val="Normal"/>
    <w:autoRedefine/>
    <w:pPr>
      <w:ind w:left="900"/>
    </w:pPr>
  </w:style>
  <w:style w:type="paragraph" w:styleId="TOC7">
    <w:name w:val="toc 7"/>
    <w:basedOn w:val="Normal"/>
    <w:next w:val="Normal"/>
    <w:autoRedefine/>
    <w:pPr>
      <w:ind w:left="1080"/>
    </w:pPr>
  </w:style>
  <w:style w:type="paragraph" w:styleId="TOC8">
    <w:name w:val="toc 8"/>
    <w:basedOn w:val="Normal"/>
    <w:next w:val="Normal"/>
    <w:autoRedefine/>
    <w:pPr>
      <w:ind w:left="1260"/>
    </w:pPr>
  </w:style>
  <w:style w:type="paragraph" w:styleId="TOC9">
    <w:name w:val="toc 9"/>
    <w:basedOn w:val="Normal"/>
    <w:next w:val="Normal"/>
    <w:autoRedefine/>
    <w:pPr>
      <w:ind w:left="1440"/>
    </w:pPr>
  </w:style>
  <w:style w:type="character" w:customStyle="1" w:styleId="ListParagraphChar">
    <w:name w:val="List Paragraph Char"/>
    <w:aliases w:val="text bullet Char,List Numbers Char,Paragrafo elenco.text bullet liv. 2 Char,text bullet liv. 2 Char,Paragrafo elenco.text bullet liv. 21 Char,Colorful List - Accent 11 Char,Testo elenco Char,List Paragraph1 Char,Generali Bullet Char"/>
    <w:basedOn w:val="DefaultParagraphFont"/>
    <w:link w:val="ListParagraph"/>
    <w:uiPriority w:val="34"/>
    <w:locked/>
    <w:rsid w:val="00DA758E"/>
    <w:rPr>
      <w:rFonts w:ascii="Arial" w:eastAsia="Times New Roman" w:hAnsi="Arial"/>
      <w:color w:val="000000"/>
      <w:sz w:val="18"/>
      <w:lang w:val="it-IT" w:eastAsia="it-IT"/>
    </w:rPr>
  </w:style>
  <w:style w:type="character" w:customStyle="1" w:styleId="FooterChar1">
    <w:name w:val="Footer Char1"/>
    <w:basedOn w:val="DefaultParagraphFont"/>
    <w:link w:val="Footer"/>
    <w:uiPriority w:val="99"/>
    <w:rsid w:val="00DA758E"/>
    <w:rPr>
      <w:rFonts w:ascii="Arial" w:eastAsia="Times New Roman" w:hAnsi="Arial"/>
      <w:b/>
      <w:color w:val="000000"/>
      <w:sz w:val="14"/>
      <w:szCs w:val="12"/>
      <w:lang w:val="it-IT" w:eastAsia="it-IT"/>
    </w:rPr>
  </w:style>
  <w:style w:type="numbering" w:customStyle="1" w:styleId="WWOutlineListStyle">
    <w:name w:val="WW_OutlineListStyle"/>
    <w:basedOn w:val="NoList"/>
    <w:pPr>
      <w:numPr>
        <w:numId w:val="2"/>
      </w:numPr>
    </w:pPr>
  </w:style>
  <w:style w:type="numbering" w:customStyle="1" w:styleId="LFO1">
    <w:name w:val="LFO1"/>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 w:type="numbering" w:customStyle="1" w:styleId="LFO7">
    <w:name w:val="LFO7"/>
    <w:basedOn w:val="NoList"/>
    <w:pPr>
      <w:numPr>
        <w:numId w:val="6"/>
      </w:numPr>
    </w:pPr>
  </w:style>
  <w:style w:type="character" w:customStyle="1" w:styleId="Heading4Char">
    <w:name w:val="Heading 4 Char"/>
    <w:basedOn w:val="DefaultParagraphFont"/>
    <w:link w:val="Heading4"/>
    <w:uiPriority w:val="9"/>
    <w:semiHidden/>
    <w:rsid w:val="00D84D51"/>
    <w:rPr>
      <w:rFonts w:asciiTheme="majorHAnsi" w:eastAsiaTheme="majorEastAsia" w:hAnsiTheme="majorHAnsi" w:cstheme="majorBidi"/>
      <w:i/>
      <w:iCs/>
      <w:color w:val="2F5496" w:themeColor="accent1" w:themeShade="BF"/>
      <w:sz w:val="18"/>
      <w:lang w:val="it-IT" w:eastAsia="it-IT"/>
    </w:rPr>
  </w:style>
  <w:style w:type="character" w:customStyle="1" w:styleId="Heading5Char">
    <w:name w:val="Heading 5 Char"/>
    <w:basedOn w:val="DefaultParagraphFont"/>
    <w:link w:val="Heading5"/>
    <w:uiPriority w:val="9"/>
    <w:semiHidden/>
    <w:rsid w:val="008D36A6"/>
    <w:rPr>
      <w:rFonts w:asciiTheme="majorHAnsi" w:eastAsiaTheme="majorEastAsia" w:hAnsiTheme="majorHAnsi" w:cstheme="majorBidi"/>
      <w:color w:val="2F5496" w:themeColor="accent1" w:themeShade="BF"/>
      <w:sz w:val="18"/>
      <w:lang w:val="it-IT" w:eastAsia="it-IT"/>
    </w:rPr>
  </w:style>
  <w:style w:type="character" w:customStyle="1" w:styleId="Heading6Char">
    <w:name w:val="Heading 6 Char"/>
    <w:basedOn w:val="DefaultParagraphFont"/>
    <w:link w:val="Heading6"/>
    <w:uiPriority w:val="9"/>
    <w:semiHidden/>
    <w:rsid w:val="008D36A6"/>
    <w:rPr>
      <w:rFonts w:asciiTheme="majorHAnsi" w:eastAsiaTheme="majorEastAsia" w:hAnsiTheme="majorHAnsi" w:cstheme="majorBidi"/>
      <w:color w:val="1F3763" w:themeColor="accent1" w:themeShade="7F"/>
      <w:sz w:val="18"/>
      <w:lang w:val="it-IT" w:eastAsia="it-IT"/>
    </w:rPr>
  </w:style>
  <w:style w:type="character" w:customStyle="1" w:styleId="Heading7Char">
    <w:name w:val="Heading 7 Char"/>
    <w:basedOn w:val="DefaultParagraphFont"/>
    <w:link w:val="Heading7"/>
    <w:uiPriority w:val="9"/>
    <w:semiHidden/>
    <w:rsid w:val="008D36A6"/>
    <w:rPr>
      <w:rFonts w:asciiTheme="majorHAnsi" w:eastAsiaTheme="majorEastAsia" w:hAnsiTheme="majorHAnsi" w:cstheme="majorBidi"/>
      <w:i/>
      <w:iCs/>
      <w:color w:val="1F3763" w:themeColor="accent1" w:themeShade="7F"/>
      <w:sz w:val="18"/>
      <w:lang w:val="it-IT" w:eastAsia="it-IT"/>
    </w:rPr>
  </w:style>
  <w:style w:type="character" w:customStyle="1" w:styleId="Heading8Char">
    <w:name w:val="Heading 8 Char"/>
    <w:basedOn w:val="DefaultParagraphFont"/>
    <w:link w:val="Heading8"/>
    <w:uiPriority w:val="9"/>
    <w:semiHidden/>
    <w:rsid w:val="008D36A6"/>
    <w:rPr>
      <w:rFonts w:asciiTheme="majorHAnsi" w:eastAsiaTheme="majorEastAsia" w:hAnsiTheme="majorHAnsi" w:cstheme="majorBidi"/>
      <w:color w:val="272727" w:themeColor="text1" w:themeTint="D8"/>
      <w:sz w:val="21"/>
      <w:szCs w:val="21"/>
      <w:lang w:val="it-IT" w:eastAsia="it-IT"/>
    </w:rPr>
  </w:style>
  <w:style w:type="character" w:customStyle="1" w:styleId="Heading9Char">
    <w:name w:val="Heading 9 Char"/>
    <w:basedOn w:val="DefaultParagraphFont"/>
    <w:link w:val="Heading9"/>
    <w:uiPriority w:val="9"/>
    <w:semiHidden/>
    <w:rsid w:val="008D36A6"/>
    <w:rPr>
      <w:rFonts w:asciiTheme="majorHAnsi" w:eastAsiaTheme="majorEastAsia" w:hAnsiTheme="majorHAnsi" w:cstheme="majorBidi"/>
      <w:i/>
      <w:iCs/>
      <w:color w:val="272727" w:themeColor="text1" w:themeTint="D8"/>
      <w:sz w:val="21"/>
      <w:szCs w:val="21"/>
      <w:lang w:val="it-IT" w:eastAsia="it-IT"/>
    </w:rPr>
  </w:style>
  <w:style w:type="paragraph" w:styleId="BodyText">
    <w:name w:val="Body Text"/>
    <w:basedOn w:val="Normal"/>
    <w:link w:val="BodyTextChar"/>
    <w:uiPriority w:val="1"/>
    <w:qFormat/>
    <w:rsid w:val="004C4F33"/>
    <w:pPr>
      <w:suppressAutoHyphens w:val="0"/>
      <w:autoSpaceDN/>
      <w:spacing w:before="160" w:after="0" w:line="240" w:lineRule="auto"/>
      <w:ind w:left="112"/>
      <w:contextualSpacing w:val="0"/>
    </w:pPr>
    <w:rPr>
      <w:rFonts w:eastAsia="Arial" w:cstheme="minorBidi"/>
      <w:color w:val="auto"/>
      <w:sz w:val="20"/>
      <w:szCs w:val="20"/>
      <w:lang w:val="en-US" w:eastAsia="en-US"/>
    </w:rPr>
  </w:style>
  <w:style w:type="character" w:customStyle="1" w:styleId="BodyTextChar">
    <w:name w:val="Body Text Char"/>
    <w:basedOn w:val="DefaultParagraphFont"/>
    <w:link w:val="BodyText"/>
    <w:uiPriority w:val="1"/>
    <w:rsid w:val="004C4F33"/>
    <w:rPr>
      <w:rFonts w:ascii="Arial" w:eastAsia="Arial" w:hAnsi="Arial" w:cstheme="minorBidi"/>
      <w:sz w:val="20"/>
      <w:szCs w:val="20"/>
    </w:rPr>
  </w:style>
  <w:style w:type="numbering" w:customStyle="1" w:styleId="LFO17">
    <w:name w:val="LFO17"/>
    <w:basedOn w:val="NoList"/>
    <w:rsid w:val="004C4F33"/>
    <w:pPr>
      <w:numPr>
        <w:numId w:val="8"/>
      </w:numPr>
    </w:pPr>
  </w:style>
  <w:style w:type="character" w:styleId="CommentReference">
    <w:name w:val="annotation reference"/>
    <w:basedOn w:val="DefaultParagraphFont"/>
    <w:rsid w:val="005F7297"/>
    <w:rPr>
      <w:sz w:val="16"/>
      <w:szCs w:val="16"/>
    </w:rPr>
  </w:style>
  <w:style w:type="paragraph" w:styleId="CommentText">
    <w:name w:val="annotation text"/>
    <w:basedOn w:val="Normal"/>
    <w:link w:val="CommentTextChar"/>
    <w:uiPriority w:val="99"/>
    <w:rsid w:val="005F7297"/>
    <w:pPr>
      <w:spacing w:line="240" w:lineRule="auto"/>
    </w:pPr>
    <w:rPr>
      <w:sz w:val="20"/>
      <w:szCs w:val="20"/>
    </w:rPr>
  </w:style>
  <w:style w:type="character" w:customStyle="1" w:styleId="CommentTextChar">
    <w:name w:val="Comment Text Char"/>
    <w:basedOn w:val="DefaultParagraphFont"/>
    <w:link w:val="CommentText"/>
    <w:uiPriority w:val="99"/>
    <w:rsid w:val="005F7297"/>
    <w:rPr>
      <w:rFonts w:ascii="Arial" w:eastAsia="Times New Roman" w:hAnsi="Arial"/>
      <w:color w:val="000000"/>
      <w:sz w:val="20"/>
      <w:szCs w:val="20"/>
      <w:lang w:val="it-IT" w:eastAsia="it-IT"/>
    </w:rPr>
  </w:style>
  <w:style w:type="paragraph" w:styleId="CommentSubject">
    <w:name w:val="annotation subject"/>
    <w:basedOn w:val="CommentText"/>
    <w:next w:val="CommentText"/>
    <w:link w:val="CommentSubjectChar"/>
    <w:uiPriority w:val="99"/>
    <w:semiHidden/>
    <w:unhideWhenUsed/>
    <w:rsid w:val="00644D58"/>
    <w:rPr>
      <w:b/>
      <w:bCs/>
    </w:rPr>
  </w:style>
  <w:style w:type="character" w:customStyle="1" w:styleId="CommentSubjectChar">
    <w:name w:val="Comment Subject Char"/>
    <w:basedOn w:val="CommentTextChar"/>
    <w:link w:val="CommentSubject"/>
    <w:uiPriority w:val="99"/>
    <w:semiHidden/>
    <w:rsid w:val="00644D58"/>
    <w:rPr>
      <w:rFonts w:ascii="Arial" w:eastAsia="Times New Roman" w:hAnsi="Arial"/>
      <w:b/>
      <w:bCs/>
      <w:color w:val="000000"/>
      <w:sz w:val="20"/>
      <w:szCs w:val="20"/>
      <w:lang w:val="it-IT" w:eastAsia="it-IT"/>
    </w:rPr>
  </w:style>
  <w:style w:type="paragraph" w:styleId="Revision">
    <w:name w:val="Revision"/>
    <w:hidden/>
    <w:uiPriority w:val="99"/>
    <w:semiHidden/>
    <w:rsid w:val="00083AF1"/>
    <w:pPr>
      <w:autoSpaceDN/>
    </w:pPr>
    <w:rPr>
      <w:rFonts w:ascii="Arial" w:eastAsia="Times New Roman" w:hAnsi="Arial"/>
      <w:color w:val="000000"/>
      <w:sz w:val="18"/>
      <w:lang w:val="it-IT" w:eastAsia="it-IT"/>
    </w:rPr>
  </w:style>
  <w:style w:type="character" w:styleId="UnresolvedMention">
    <w:name w:val="Unresolved Mention"/>
    <w:basedOn w:val="DefaultParagraphFont"/>
    <w:uiPriority w:val="99"/>
    <w:semiHidden/>
    <w:unhideWhenUsed/>
    <w:rsid w:val="00253DBD"/>
    <w:rPr>
      <w:color w:val="605E5C"/>
      <w:shd w:val="clear" w:color="auto" w:fill="E1DFDD"/>
    </w:rPr>
  </w:style>
  <w:style w:type="character" w:styleId="FollowedHyperlink">
    <w:name w:val="FollowedHyperlink"/>
    <w:basedOn w:val="DefaultParagraphFont"/>
    <w:uiPriority w:val="99"/>
    <w:semiHidden/>
    <w:unhideWhenUsed/>
    <w:rsid w:val="009D7680"/>
    <w:rPr>
      <w:color w:val="954F72" w:themeColor="followedHyperlink"/>
      <w:u w:val="single"/>
    </w:rPr>
  </w:style>
  <w:style w:type="paragraph" w:customStyle="1" w:styleId="Default">
    <w:name w:val="Default"/>
    <w:rsid w:val="00894766"/>
    <w:pPr>
      <w:autoSpaceDE w:val="0"/>
      <w:adjustRightInd w:val="0"/>
    </w:pPr>
    <w:rPr>
      <w:rFonts w:ascii="Arial" w:hAnsi="Arial" w:cs="Arial"/>
      <w:color w:val="000000"/>
      <w:lang w:val="it-IT"/>
    </w:rPr>
  </w:style>
  <w:style w:type="paragraph" w:styleId="NormalWeb">
    <w:name w:val="Normal (Web)"/>
    <w:basedOn w:val="Normal"/>
    <w:uiPriority w:val="99"/>
    <w:semiHidden/>
    <w:unhideWhenUsed/>
    <w:rsid w:val="009001D9"/>
    <w:pPr>
      <w:widowControl/>
      <w:suppressAutoHyphens w:val="0"/>
      <w:autoSpaceDN/>
      <w:spacing w:before="100" w:beforeAutospacing="1" w:after="100" w:afterAutospacing="1" w:line="240" w:lineRule="auto"/>
      <w:contextualSpacing w:val="0"/>
    </w:pPr>
    <w:rPr>
      <w:rFonts w:ascii="Times New Roman" w:hAnsi="Times New Roman"/>
      <w:color w:val="auto"/>
      <w:sz w:val="24"/>
    </w:rPr>
  </w:style>
  <w:style w:type="character" w:styleId="Strong">
    <w:name w:val="Strong"/>
    <w:basedOn w:val="DefaultParagraphFont"/>
    <w:uiPriority w:val="22"/>
    <w:qFormat/>
    <w:rsid w:val="00900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64285">
      <w:bodyDiv w:val="1"/>
      <w:marLeft w:val="0"/>
      <w:marRight w:val="0"/>
      <w:marTop w:val="0"/>
      <w:marBottom w:val="0"/>
      <w:divBdr>
        <w:top w:val="none" w:sz="0" w:space="0" w:color="auto"/>
        <w:left w:val="none" w:sz="0" w:space="0" w:color="auto"/>
        <w:bottom w:val="none" w:sz="0" w:space="0" w:color="auto"/>
        <w:right w:val="none" w:sz="0" w:space="0" w:color="auto"/>
      </w:divBdr>
    </w:div>
    <w:div w:id="1774669446">
      <w:bodyDiv w:val="1"/>
      <w:marLeft w:val="0"/>
      <w:marRight w:val="0"/>
      <w:marTop w:val="0"/>
      <w:marBottom w:val="0"/>
      <w:divBdr>
        <w:top w:val="none" w:sz="0" w:space="0" w:color="auto"/>
        <w:left w:val="none" w:sz="0" w:space="0" w:color="auto"/>
        <w:bottom w:val="none" w:sz="0" w:space="0" w:color="auto"/>
        <w:right w:val="none" w:sz="0" w:space="0" w:color="auto"/>
      </w:divBdr>
      <w:divsChild>
        <w:div w:id="2075883150">
          <w:marLeft w:val="0"/>
          <w:marRight w:val="0"/>
          <w:marTop w:val="240"/>
          <w:marBottom w:val="240"/>
          <w:divBdr>
            <w:top w:val="none" w:sz="0" w:space="0" w:color="auto"/>
            <w:left w:val="none" w:sz="0" w:space="0" w:color="auto"/>
            <w:bottom w:val="none" w:sz="0" w:space="0" w:color="auto"/>
            <w:right w:val="none" w:sz="0" w:space="0" w:color="auto"/>
          </w:divBdr>
        </w:div>
        <w:div w:id="1178155642">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e.generali.com/doc/jcr:9bf66cb2-d85a-4b2c-aac0-3c744d6a8941/Annual%20Integrated%20Report%20and%20Consolidated%20Financial%20Statements%202021_Generali%20Group_final.pdf/lang:en/Annual%20Integrated%20Report%20and%20Consolidated%20Financial%20Statements%202021_Generali%20Group_final.pdf"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enerali.com/our-responsibilities/our-commitment-to-the-environment-and-climat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opeano\Desktop\Internal_Documents_Format.doc.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AF4278E381824A9DCB37BF056678A4" ma:contentTypeVersion="0" ma:contentTypeDescription="Create a new document." ma:contentTypeScope="" ma:versionID="f32b1ee0ea844f1b47aa9cb8dd97e19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7087E-8108-4B68-94B9-67C25B89145E}">
  <ds:schemaRefs>
    <ds:schemaRef ds:uri="http://schemas.microsoft.com/sharepoint/v3/contenttype/forms"/>
  </ds:schemaRefs>
</ds:datastoreItem>
</file>

<file path=customXml/itemProps2.xml><?xml version="1.0" encoding="utf-8"?>
<ds:datastoreItem xmlns:ds="http://schemas.openxmlformats.org/officeDocument/2006/customXml" ds:itemID="{4FE96D2A-5C08-417E-AC21-45BA654B99B6}">
  <ds:schemaRefs>
    <ds:schemaRef ds:uri="http://schemas.openxmlformats.org/officeDocument/2006/bibliography"/>
  </ds:schemaRefs>
</ds:datastoreItem>
</file>

<file path=customXml/itemProps3.xml><?xml version="1.0" encoding="utf-8"?>
<ds:datastoreItem xmlns:ds="http://schemas.openxmlformats.org/officeDocument/2006/customXml" ds:itemID="{A154AD5A-44B4-4D31-AD8A-010E8C0E4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C6702C-B28C-4270-934C-31E6534C56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Internal_Documents_Format.doc</Template>
  <TotalTime>7</TotalTime>
  <Pages>7</Pages>
  <Words>2487</Words>
  <Characters>14425</Characters>
  <Application>Microsoft Office Word</Application>
  <DocSecurity>0</DocSecurity>
  <Lines>120</Lines>
  <Paragraphs>33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Group Compliance policy</vt:lpstr>
      <vt:lpstr>Group Compliance policy</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 de conformitate a grupului</dc:title>
  <dc:creator>asjad</dc:creator>
  <cp:lastModifiedBy>Anca Teodorescu</cp:lastModifiedBy>
  <cp:revision>2</cp:revision>
  <cp:lastPrinted>2014-01-14T14:50:00Z</cp:lastPrinted>
  <dcterms:created xsi:type="dcterms:W3CDTF">2025-12-03T13:08:00Z</dcterms:created>
  <dcterms:modified xsi:type="dcterms:W3CDTF">2025-12-16T10:56:00Z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4bb52-9e9d-4296-940a-59002820a53c_Enabled">
    <vt:lpwstr>true</vt:lpwstr>
  </property>
  <property fmtid="{D5CDD505-2E9C-101B-9397-08002B2CF9AE}" pid="3" name="MSIP_Label_5bf4bb52-9e9d-4296-940a-59002820a53c_SetDate">
    <vt:lpwstr>2022-08-12T10:17:07Z</vt:lpwstr>
  </property>
  <property fmtid="{D5CDD505-2E9C-101B-9397-08002B2CF9AE}" pid="4" name="MSIP_Label_5bf4bb52-9e9d-4296-940a-59002820a53c_Method">
    <vt:lpwstr>Standard</vt:lpwstr>
  </property>
  <property fmtid="{D5CDD505-2E9C-101B-9397-08002B2CF9AE}" pid="5" name="MSIP_Label_5bf4bb52-9e9d-4296-940a-59002820a53c_Name">
    <vt:lpwstr>5bf4bb52-9e9d-4296-940a-59002820a53c</vt:lpwstr>
  </property>
  <property fmtid="{D5CDD505-2E9C-101B-9397-08002B2CF9AE}" pid="6" name="MSIP_Label_5bf4bb52-9e9d-4296-940a-59002820a53c_SiteId">
    <vt:lpwstr>cbeb3ecc-6f45-4183-b5a8-088140deae5d</vt:lpwstr>
  </property>
  <property fmtid="{D5CDD505-2E9C-101B-9397-08002B2CF9AE}" pid="7" name="MSIP_Label_5bf4bb52-9e9d-4296-940a-59002820a53c_ActionId">
    <vt:lpwstr>fc86c564-7169-4cf5-9f98-7c272df0a3e5</vt:lpwstr>
  </property>
  <property fmtid="{D5CDD505-2E9C-101B-9397-08002B2CF9AE}" pid="8" name="MSIP_Label_5bf4bb52-9e9d-4296-940a-59002820a53c_ContentBits">
    <vt:lpwstr>0</vt:lpwstr>
  </property>
  <property fmtid="{D5CDD505-2E9C-101B-9397-08002B2CF9AE}" pid="9" name="ContentTypeId">
    <vt:lpwstr>0x01010073AF4278E381824A9DCB37BF056678A4</vt:lpwstr>
  </property>
  <property fmtid="{D5CDD505-2E9C-101B-9397-08002B2CF9AE}" pid="10" name="GrammarlyDocumentId">
    <vt:lpwstr>c5d72466fca95e0212b069592a5a60dc7c698e15aa35435edfac596a04190c68</vt:lpwstr>
  </property>
  <property fmtid="{D5CDD505-2E9C-101B-9397-08002B2CF9AE}" pid="11" name="MSIP_Label_89c4e71c-d371-4f25-9475-af5d49e3e488_Enabled">
    <vt:lpwstr>true</vt:lpwstr>
  </property>
  <property fmtid="{D5CDD505-2E9C-101B-9397-08002B2CF9AE}" pid="12" name="MSIP_Label_89c4e71c-d371-4f25-9475-af5d49e3e488_SetDate">
    <vt:lpwstr>2025-12-08T06:53:33Z</vt:lpwstr>
  </property>
  <property fmtid="{D5CDD505-2E9C-101B-9397-08002B2CF9AE}" pid="13" name="MSIP_Label_89c4e71c-d371-4f25-9475-af5d49e3e488_Method">
    <vt:lpwstr>Privileged</vt:lpwstr>
  </property>
  <property fmtid="{D5CDD505-2E9C-101B-9397-08002B2CF9AE}" pid="14" name="MSIP_Label_89c4e71c-d371-4f25-9475-af5d49e3e488_Name">
    <vt:lpwstr>Uz Intern - Fara Marcaj</vt:lpwstr>
  </property>
  <property fmtid="{D5CDD505-2E9C-101B-9397-08002B2CF9AE}" pid="15" name="MSIP_Label_89c4e71c-d371-4f25-9475-af5d49e3e488_SiteId">
    <vt:lpwstr>63bf81ae-f2c7-4255-9e05-a563d2d736d9</vt:lpwstr>
  </property>
  <property fmtid="{D5CDD505-2E9C-101B-9397-08002B2CF9AE}" pid="16" name="MSIP_Label_89c4e71c-d371-4f25-9475-af5d49e3e488_ActionId">
    <vt:lpwstr>ab092644-7401-4d52-9bdc-33fdd674c115</vt:lpwstr>
  </property>
  <property fmtid="{D5CDD505-2E9C-101B-9397-08002B2CF9AE}" pid="17" name="MSIP_Label_89c4e71c-d371-4f25-9475-af5d49e3e488_ContentBits">
    <vt:lpwstr>0</vt:lpwstr>
  </property>
  <property fmtid="{D5CDD505-2E9C-101B-9397-08002B2CF9AE}" pid="18" name="MSIP_Label_89c4e71c-d371-4f25-9475-af5d49e3e488_Tag">
    <vt:lpwstr>10, 0, 1, 1</vt:lpwstr>
  </property>
</Properties>
</file>