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31E3" w14:textId="5F3B69B5" w:rsidR="00C50367" w:rsidRDefault="00C50367" w:rsidP="00EE5356">
      <w:pPr>
        <w:widowControl/>
        <w:suppressAutoHyphens w:val="0"/>
        <w:spacing w:before="0" w:after="0" w:line="240" w:lineRule="auto"/>
        <w:contextualSpacing w:val="0"/>
        <w:rPr>
          <w:b/>
          <w:bCs/>
          <w:color w:val="auto"/>
          <w:lang w:val="en-GB"/>
        </w:rPr>
      </w:pPr>
    </w:p>
    <w:p w14:paraId="0E885188" w14:textId="77777777" w:rsidR="00206414" w:rsidRDefault="00206414" w:rsidP="00EE5356">
      <w:pPr>
        <w:widowControl/>
        <w:suppressAutoHyphens w:val="0"/>
        <w:spacing w:before="0" w:after="0" w:line="240" w:lineRule="auto"/>
        <w:contextualSpacing w:val="0"/>
        <w:rPr>
          <w:b/>
          <w:bCs/>
          <w:color w:val="auto"/>
          <w:lang w:val="en-GB"/>
        </w:rPr>
      </w:pPr>
    </w:p>
    <w:p w14:paraId="53462245" w14:textId="3BF10739" w:rsidR="0096392C" w:rsidRPr="001757D1" w:rsidRDefault="0096392C" w:rsidP="00EE5356">
      <w:pPr>
        <w:widowControl/>
        <w:suppressAutoHyphens w:val="0"/>
        <w:spacing w:before="0" w:after="0" w:line="240" w:lineRule="auto"/>
        <w:contextualSpacing w:val="0"/>
        <w:rPr>
          <w:b/>
          <w:bCs/>
          <w:caps/>
          <w:color w:val="auto"/>
          <w:sz w:val="22"/>
          <w:lang w:val="en-GB"/>
        </w:rPr>
        <w:sectPr w:rsidR="0096392C" w:rsidRPr="001757D1" w:rsidSect="00777D79">
          <w:headerReference w:type="even" r:id="rId11"/>
          <w:headerReference w:type="default" r:id="rId12"/>
          <w:footerReference w:type="even" r:id="rId13"/>
          <w:footerReference w:type="default" r:id="rId14"/>
          <w:headerReference w:type="first" r:id="rId15"/>
          <w:footerReference w:type="first" r:id="rId16"/>
          <w:pgSz w:w="11900" w:h="16840"/>
          <w:pgMar w:top="2268" w:right="851" w:bottom="1134" w:left="851" w:header="567" w:footer="567" w:gutter="0"/>
          <w:pgNumType w:start="1"/>
          <w:cols w:space="720"/>
          <w:titlePg/>
        </w:sectPr>
      </w:pPr>
    </w:p>
    <w:p w14:paraId="4D79FB5F" w14:textId="16E84469" w:rsidR="0096392C" w:rsidRPr="00174138" w:rsidRDefault="0096392C" w:rsidP="00254F7E">
      <w:pPr>
        <w:pStyle w:val="Gindextitle"/>
        <w:rPr>
          <w:lang w:val="en-GB"/>
        </w:rPr>
      </w:pPr>
      <w:r w:rsidRPr="00174138">
        <w:lastRenderedPageBreak/>
        <w:t>Index</w:t>
      </w:r>
    </w:p>
    <w:p w14:paraId="3C1541A1" w14:textId="0D2C404E" w:rsidR="004E604A" w:rsidRPr="00174138" w:rsidRDefault="0096392C">
      <w:pPr>
        <w:pStyle w:val="TOC1"/>
        <w:rPr>
          <w:rFonts w:asciiTheme="minorHAnsi" w:eastAsiaTheme="minorEastAsia" w:hAnsiTheme="minorHAnsi" w:cstheme="minorBidi"/>
          <w:b w:val="0"/>
          <w:bCs w:val="0"/>
          <w:color w:val="auto"/>
          <w:sz w:val="22"/>
          <w:szCs w:val="22"/>
          <w:lang w:val="it-IT"/>
        </w:rPr>
      </w:pPr>
      <w:r w:rsidRPr="00174138">
        <w:fldChar w:fldCharType="begin"/>
      </w:r>
      <w:r w:rsidRPr="00174138">
        <w:instrText xml:space="preserve"> TOC \o "1-2" \h \z \u </w:instrText>
      </w:r>
      <w:r w:rsidRPr="00174138">
        <w:fldChar w:fldCharType="separate"/>
      </w:r>
      <w:hyperlink w:anchor="_Toc136509346" w:history="1">
        <w:r w:rsidR="004E604A" w:rsidRPr="00174138">
          <w:rPr>
            <w:rStyle w:val="Hyperlink"/>
          </w:rPr>
          <w:t>1</w:t>
        </w:r>
        <w:r w:rsidR="004E604A" w:rsidRPr="00174138">
          <w:rPr>
            <w:rFonts w:asciiTheme="minorHAnsi" w:eastAsiaTheme="minorEastAsia" w:hAnsiTheme="minorHAnsi" w:cstheme="minorBidi"/>
            <w:b w:val="0"/>
            <w:bCs w:val="0"/>
            <w:color w:val="auto"/>
            <w:sz w:val="22"/>
            <w:szCs w:val="22"/>
          </w:rPr>
          <w:tab/>
        </w:r>
        <w:r w:rsidR="004E604A" w:rsidRPr="00174138">
          <w:rPr>
            <w:rStyle w:val="Hyperlink"/>
          </w:rPr>
          <w:t>Introducere</w:t>
        </w:r>
        <w:r w:rsidR="004E604A" w:rsidRPr="00174138">
          <w:rPr>
            <w:webHidden/>
          </w:rPr>
          <w:tab/>
        </w:r>
        <w:r w:rsidR="004E604A" w:rsidRPr="00174138">
          <w:rPr>
            <w:webHidden/>
          </w:rPr>
          <w:fldChar w:fldCharType="begin"/>
        </w:r>
        <w:r w:rsidR="004E604A" w:rsidRPr="00174138">
          <w:rPr>
            <w:webHidden/>
          </w:rPr>
          <w:instrText xml:space="preserve"> PAGEREF _Toc136509346 \h </w:instrText>
        </w:r>
        <w:r w:rsidR="004E604A" w:rsidRPr="00174138">
          <w:rPr>
            <w:webHidden/>
          </w:rPr>
        </w:r>
        <w:r w:rsidR="004E604A" w:rsidRPr="00174138">
          <w:rPr>
            <w:webHidden/>
          </w:rPr>
          <w:fldChar w:fldCharType="separate"/>
        </w:r>
        <w:r w:rsidR="006A0E03">
          <w:rPr>
            <w:webHidden/>
          </w:rPr>
          <w:t>3</w:t>
        </w:r>
        <w:r w:rsidR="004E604A" w:rsidRPr="00174138">
          <w:rPr>
            <w:webHidden/>
          </w:rPr>
          <w:fldChar w:fldCharType="end"/>
        </w:r>
      </w:hyperlink>
    </w:p>
    <w:p w14:paraId="16839130" w14:textId="554ED5FB" w:rsidR="004E604A" w:rsidRPr="00174138" w:rsidRDefault="004E604A">
      <w:pPr>
        <w:pStyle w:val="TOC1"/>
        <w:rPr>
          <w:rFonts w:asciiTheme="minorHAnsi" w:eastAsiaTheme="minorEastAsia" w:hAnsiTheme="minorHAnsi" w:cstheme="minorBidi"/>
          <w:b w:val="0"/>
          <w:bCs w:val="0"/>
          <w:color w:val="auto"/>
          <w:sz w:val="22"/>
          <w:szCs w:val="22"/>
          <w:lang w:val="it-IT"/>
        </w:rPr>
      </w:pPr>
      <w:hyperlink w:anchor="_Toc136509347" w:history="1">
        <w:r w:rsidRPr="00174138">
          <w:rPr>
            <w:rStyle w:val="Hyperlink"/>
          </w:rPr>
          <w:t>2</w:t>
        </w:r>
        <w:r w:rsidRPr="00174138">
          <w:rPr>
            <w:rFonts w:asciiTheme="minorHAnsi" w:eastAsiaTheme="minorEastAsia" w:hAnsiTheme="minorHAnsi" w:cstheme="minorBidi"/>
            <w:b w:val="0"/>
            <w:bCs w:val="0"/>
            <w:color w:val="auto"/>
            <w:sz w:val="22"/>
            <w:szCs w:val="22"/>
          </w:rPr>
          <w:tab/>
        </w:r>
        <w:r w:rsidRPr="00174138">
          <w:rPr>
            <w:rStyle w:val="Hyperlink"/>
          </w:rPr>
          <w:t>Declarație privind principalele efecte negative ale deciziilor de investiții asupra factorilor de durabilitate</w:t>
        </w:r>
        <w:r w:rsidRPr="00174138">
          <w:rPr>
            <w:webHidden/>
          </w:rPr>
          <w:tab/>
        </w:r>
        <w:r w:rsidRPr="00174138">
          <w:rPr>
            <w:webHidden/>
          </w:rPr>
          <w:fldChar w:fldCharType="begin"/>
        </w:r>
        <w:r w:rsidRPr="00174138">
          <w:rPr>
            <w:webHidden/>
          </w:rPr>
          <w:instrText xml:space="preserve"> PAGEREF _Toc136509347 \h </w:instrText>
        </w:r>
        <w:r w:rsidRPr="00174138">
          <w:rPr>
            <w:webHidden/>
          </w:rPr>
        </w:r>
        <w:r w:rsidRPr="00174138">
          <w:rPr>
            <w:webHidden/>
          </w:rPr>
          <w:fldChar w:fldCharType="separate"/>
        </w:r>
        <w:r w:rsidR="006A0E03">
          <w:rPr>
            <w:webHidden/>
          </w:rPr>
          <w:t>4</w:t>
        </w:r>
        <w:r w:rsidRPr="00174138">
          <w:rPr>
            <w:webHidden/>
          </w:rPr>
          <w:fldChar w:fldCharType="end"/>
        </w:r>
      </w:hyperlink>
    </w:p>
    <w:p w14:paraId="50658DCB" w14:textId="7D3E8E86" w:rsidR="004E604A" w:rsidRPr="00174138" w:rsidRDefault="004E604A">
      <w:pPr>
        <w:pStyle w:val="TOC2"/>
        <w:rPr>
          <w:rFonts w:asciiTheme="minorHAnsi" w:eastAsiaTheme="minorEastAsia" w:hAnsiTheme="minorHAnsi" w:cstheme="minorBidi"/>
          <w:color w:val="auto"/>
          <w:sz w:val="22"/>
          <w:szCs w:val="22"/>
          <w:lang w:val="it-IT"/>
        </w:rPr>
      </w:pPr>
      <w:hyperlink w:anchor="_Toc136509348" w:history="1">
        <w:r w:rsidRPr="00174138">
          <w:rPr>
            <w:rStyle w:val="Hyperlink"/>
          </w:rPr>
          <w:t>2.1</w:t>
        </w:r>
        <w:r w:rsidRPr="00174138">
          <w:rPr>
            <w:rFonts w:asciiTheme="minorHAnsi" w:eastAsiaTheme="minorEastAsia" w:hAnsiTheme="minorHAnsi" w:cstheme="minorBidi"/>
            <w:color w:val="auto"/>
            <w:sz w:val="22"/>
            <w:szCs w:val="22"/>
          </w:rPr>
          <w:tab/>
        </w:r>
        <w:r w:rsidRPr="00174138">
          <w:rPr>
            <w:rStyle w:val="Hyperlink"/>
          </w:rPr>
          <w:t>Rezumat</w:t>
        </w:r>
        <w:r w:rsidRPr="00174138">
          <w:rPr>
            <w:webHidden/>
          </w:rPr>
          <w:tab/>
        </w:r>
        <w:r w:rsidRPr="00174138">
          <w:rPr>
            <w:webHidden/>
          </w:rPr>
          <w:fldChar w:fldCharType="begin"/>
        </w:r>
        <w:r w:rsidRPr="00174138">
          <w:rPr>
            <w:webHidden/>
          </w:rPr>
          <w:instrText xml:space="preserve"> PAGEREF _Toc136509348 \h </w:instrText>
        </w:r>
        <w:r w:rsidRPr="00174138">
          <w:rPr>
            <w:webHidden/>
          </w:rPr>
        </w:r>
        <w:r w:rsidRPr="00174138">
          <w:rPr>
            <w:webHidden/>
          </w:rPr>
          <w:fldChar w:fldCharType="separate"/>
        </w:r>
        <w:r w:rsidR="006A0E03">
          <w:rPr>
            <w:webHidden/>
          </w:rPr>
          <w:t>4</w:t>
        </w:r>
        <w:r w:rsidRPr="00174138">
          <w:rPr>
            <w:webHidden/>
          </w:rPr>
          <w:fldChar w:fldCharType="end"/>
        </w:r>
      </w:hyperlink>
    </w:p>
    <w:p w14:paraId="62FD76CA" w14:textId="63EE9800" w:rsidR="004E604A" w:rsidRPr="00174138" w:rsidRDefault="004E604A">
      <w:pPr>
        <w:pStyle w:val="TOC2"/>
        <w:rPr>
          <w:rFonts w:asciiTheme="minorHAnsi" w:eastAsiaTheme="minorEastAsia" w:hAnsiTheme="minorHAnsi" w:cstheme="minorBidi"/>
          <w:color w:val="auto"/>
          <w:sz w:val="22"/>
          <w:szCs w:val="22"/>
          <w:lang w:val="it-IT"/>
        </w:rPr>
      </w:pPr>
      <w:hyperlink w:anchor="_Toc136509349" w:history="1">
        <w:r w:rsidRPr="00174138">
          <w:rPr>
            <w:rStyle w:val="Hyperlink"/>
          </w:rPr>
          <w:t>2.2</w:t>
        </w:r>
        <w:r w:rsidRPr="00174138">
          <w:rPr>
            <w:rFonts w:asciiTheme="minorHAnsi" w:eastAsiaTheme="minorEastAsia" w:hAnsiTheme="minorHAnsi" w:cstheme="minorBidi"/>
            <w:color w:val="auto"/>
            <w:sz w:val="22"/>
            <w:szCs w:val="22"/>
          </w:rPr>
          <w:tab/>
        </w:r>
        <w:r w:rsidRPr="00174138">
          <w:rPr>
            <w:rStyle w:val="Hyperlink"/>
          </w:rPr>
          <w:t>Descrierea principalelor efecte negative asupra factorilor de durabilitate</w:t>
        </w:r>
        <w:r w:rsidRPr="00174138">
          <w:rPr>
            <w:webHidden/>
          </w:rPr>
          <w:tab/>
        </w:r>
        <w:r w:rsidRPr="00174138">
          <w:rPr>
            <w:webHidden/>
          </w:rPr>
          <w:fldChar w:fldCharType="begin"/>
        </w:r>
        <w:r w:rsidRPr="00174138">
          <w:rPr>
            <w:webHidden/>
          </w:rPr>
          <w:instrText xml:space="preserve"> PAGEREF _Toc136509349 \h </w:instrText>
        </w:r>
        <w:r w:rsidRPr="00174138">
          <w:rPr>
            <w:webHidden/>
          </w:rPr>
        </w:r>
        <w:r w:rsidRPr="00174138">
          <w:rPr>
            <w:webHidden/>
          </w:rPr>
          <w:fldChar w:fldCharType="separate"/>
        </w:r>
        <w:r w:rsidR="006A0E03">
          <w:rPr>
            <w:webHidden/>
          </w:rPr>
          <w:t>6</w:t>
        </w:r>
        <w:r w:rsidRPr="00174138">
          <w:rPr>
            <w:webHidden/>
          </w:rPr>
          <w:fldChar w:fldCharType="end"/>
        </w:r>
      </w:hyperlink>
    </w:p>
    <w:p w14:paraId="30C31F9D" w14:textId="534A1270" w:rsidR="004E604A" w:rsidRPr="00174138" w:rsidRDefault="004E604A">
      <w:pPr>
        <w:pStyle w:val="TOC2"/>
        <w:rPr>
          <w:rFonts w:asciiTheme="minorHAnsi" w:eastAsiaTheme="minorEastAsia" w:hAnsiTheme="minorHAnsi" w:cstheme="minorBidi"/>
          <w:color w:val="auto"/>
          <w:sz w:val="22"/>
          <w:szCs w:val="22"/>
          <w:lang w:val="it-IT"/>
        </w:rPr>
      </w:pPr>
      <w:hyperlink w:anchor="_Toc136509350" w:history="1">
        <w:r w:rsidRPr="00174138">
          <w:rPr>
            <w:rStyle w:val="Hyperlink"/>
          </w:rPr>
          <w:t>2.3</w:t>
        </w:r>
        <w:r w:rsidRPr="00174138">
          <w:rPr>
            <w:rFonts w:asciiTheme="minorHAnsi" w:eastAsiaTheme="minorEastAsia" w:hAnsiTheme="minorHAnsi" w:cstheme="minorBidi"/>
            <w:color w:val="auto"/>
            <w:sz w:val="22"/>
            <w:szCs w:val="22"/>
          </w:rPr>
          <w:tab/>
        </w:r>
        <w:r w:rsidRPr="00174138">
          <w:rPr>
            <w:rStyle w:val="Hyperlink"/>
          </w:rPr>
          <w:t>Descrierea politicilor de identificare și prioritizare a principalelor efecte negative ale deciziilor de investiții asupra factorilor de sustenabilitate</w:t>
        </w:r>
        <w:r w:rsidRPr="00174138">
          <w:rPr>
            <w:webHidden/>
          </w:rPr>
          <w:tab/>
        </w:r>
        <w:r w:rsidRPr="00174138">
          <w:rPr>
            <w:webHidden/>
          </w:rPr>
          <w:fldChar w:fldCharType="begin"/>
        </w:r>
        <w:r w:rsidRPr="00174138">
          <w:rPr>
            <w:webHidden/>
          </w:rPr>
          <w:instrText xml:space="preserve"> PAGEREF _Toc136509350 \h </w:instrText>
        </w:r>
        <w:r w:rsidRPr="00174138">
          <w:rPr>
            <w:webHidden/>
          </w:rPr>
        </w:r>
        <w:r w:rsidRPr="00174138">
          <w:rPr>
            <w:webHidden/>
          </w:rPr>
          <w:fldChar w:fldCharType="separate"/>
        </w:r>
        <w:r w:rsidR="006A0E03">
          <w:rPr>
            <w:webHidden/>
          </w:rPr>
          <w:t>14</w:t>
        </w:r>
        <w:r w:rsidRPr="00174138">
          <w:rPr>
            <w:webHidden/>
          </w:rPr>
          <w:fldChar w:fldCharType="end"/>
        </w:r>
      </w:hyperlink>
    </w:p>
    <w:p w14:paraId="48A0AA05" w14:textId="0AF49F5F" w:rsidR="004E604A" w:rsidRPr="00174138" w:rsidRDefault="004E604A">
      <w:pPr>
        <w:pStyle w:val="TOC2"/>
        <w:rPr>
          <w:rFonts w:asciiTheme="minorHAnsi" w:eastAsiaTheme="minorEastAsia" w:hAnsiTheme="minorHAnsi" w:cstheme="minorBidi"/>
          <w:color w:val="auto"/>
          <w:sz w:val="22"/>
          <w:szCs w:val="22"/>
          <w:lang w:val="it-IT"/>
        </w:rPr>
      </w:pPr>
      <w:hyperlink w:anchor="_Toc136509351" w:history="1">
        <w:r w:rsidRPr="00174138">
          <w:rPr>
            <w:rStyle w:val="Hyperlink"/>
          </w:rPr>
          <w:t>2.4</w:t>
        </w:r>
        <w:r w:rsidRPr="00174138">
          <w:rPr>
            <w:rFonts w:asciiTheme="minorHAnsi" w:eastAsiaTheme="minorEastAsia" w:hAnsiTheme="minorHAnsi" w:cstheme="minorBidi"/>
            <w:color w:val="auto"/>
            <w:sz w:val="22"/>
            <w:szCs w:val="22"/>
          </w:rPr>
          <w:tab/>
        </w:r>
        <w:r w:rsidRPr="00174138">
          <w:rPr>
            <w:rStyle w:val="Hyperlink"/>
          </w:rPr>
          <w:t xml:space="preserve">Politici de </w:t>
        </w:r>
        <w:r w:rsidR="00B65084">
          <w:rPr>
            <w:rStyle w:val="Hyperlink"/>
          </w:rPr>
          <w:t>angajament</w:t>
        </w:r>
        <w:r w:rsidRPr="00174138">
          <w:rPr>
            <w:webHidden/>
          </w:rPr>
          <w:tab/>
        </w:r>
        <w:r w:rsidRPr="00174138">
          <w:rPr>
            <w:webHidden/>
          </w:rPr>
          <w:fldChar w:fldCharType="begin"/>
        </w:r>
        <w:r w:rsidRPr="00174138">
          <w:rPr>
            <w:webHidden/>
          </w:rPr>
          <w:instrText xml:space="preserve"> PAGEREF _Toc136509351 \h </w:instrText>
        </w:r>
        <w:r w:rsidRPr="00174138">
          <w:rPr>
            <w:webHidden/>
          </w:rPr>
        </w:r>
        <w:r w:rsidRPr="00174138">
          <w:rPr>
            <w:webHidden/>
          </w:rPr>
          <w:fldChar w:fldCharType="separate"/>
        </w:r>
        <w:r w:rsidR="006A0E03">
          <w:rPr>
            <w:webHidden/>
          </w:rPr>
          <w:t>18</w:t>
        </w:r>
        <w:r w:rsidRPr="00174138">
          <w:rPr>
            <w:webHidden/>
          </w:rPr>
          <w:fldChar w:fldCharType="end"/>
        </w:r>
      </w:hyperlink>
    </w:p>
    <w:p w14:paraId="56A74F71" w14:textId="5EC498CE" w:rsidR="004E604A" w:rsidRPr="00174138" w:rsidRDefault="004E604A">
      <w:pPr>
        <w:pStyle w:val="TOC2"/>
        <w:rPr>
          <w:rFonts w:asciiTheme="minorHAnsi" w:eastAsiaTheme="minorEastAsia" w:hAnsiTheme="minorHAnsi" w:cstheme="minorBidi"/>
          <w:color w:val="auto"/>
          <w:sz w:val="22"/>
          <w:szCs w:val="22"/>
          <w:lang w:val="it-IT"/>
        </w:rPr>
      </w:pPr>
      <w:hyperlink w:anchor="_Toc136509352" w:history="1">
        <w:r w:rsidRPr="00174138">
          <w:rPr>
            <w:rStyle w:val="Hyperlink"/>
          </w:rPr>
          <w:t>2.5</w:t>
        </w:r>
        <w:r w:rsidRPr="00174138">
          <w:rPr>
            <w:rFonts w:asciiTheme="minorHAnsi" w:eastAsiaTheme="minorEastAsia" w:hAnsiTheme="minorHAnsi" w:cstheme="minorBidi"/>
            <w:color w:val="auto"/>
            <w:sz w:val="22"/>
            <w:szCs w:val="22"/>
          </w:rPr>
          <w:tab/>
        </w:r>
        <w:r w:rsidRPr="00174138">
          <w:rPr>
            <w:rStyle w:val="Hyperlink"/>
          </w:rPr>
          <w:t>Referințe la standarde internaționale</w:t>
        </w:r>
        <w:r w:rsidRPr="00174138">
          <w:rPr>
            <w:webHidden/>
          </w:rPr>
          <w:tab/>
        </w:r>
        <w:r w:rsidRPr="00174138">
          <w:rPr>
            <w:webHidden/>
          </w:rPr>
          <w:fldChar w:fldCharType="begin"/>
        </w:r>
        <w:r w:rsidRPr="00174138">
          <w:rPr>
            <w:webHidden/>
          </w:rPr>
          <w:instrText xml:space="preserve"> PAGEREF _Toc136509352 \h </w:instrText>
        </w:r>
        <w:r w:rsidRPr="00174138">
          <w:rPr>
            <w:webHidden/>
          </w:rPr>
        </w:r>
        <w:r w:rsidRPr="00174138">
          <w:rPr>
            <w:webHidden/>
          </w:rPr>
          <w:fldChar w:fldCharType="separate"/>
        </w:r>
        <w:r w:rsidR="006A0E03">
          <w:rPr>
            <w:webHidden/>
          </w:rPr>
          <w:t>20</w:t>
        </w:r>
        <w:r w:rsidRPr="00174138">
          <w:rPr>
            <w:webHidden/>
          </w:rPr>
          <w:fldChar w:fldCharType="end"/>
        </w:r>
      </w:hyperlink>
    </w:p>
    <w:p w14:paraId="6B9F82C8" w14:textId="37270E6C" w:rsidR="004E604A" w:rsidRPr="00174138" w:rsidRDefault="004E604A">
      <w:pPr>
        <w:pStyle w:val="TOC2"/>
        <w:rPr>
          <w:rFonts w:asciiTheme="minorHAnsi" w:eastAsiaTheme="minorEastAsia" w:hAnsiTheme="minorHAnsi" w:cstheme="minorBidi"/>
          <w:color w:val="auto"/>
          <w:sz w:val="22"/>
          <w:szCs w:val="22"/>
          <w:lang w:val="it-IT"/>
        </w:rPr>
      </w:pPr>
      <w:hyperlink w:anchor="_Toc136509353" w:history="1">
        <w:r w:rsidRPr="00174138">
          <w:rPr>
            <w:rStyle w:val="Hyperlink"/>
          </w:rPr>
          <w:t>2.6</w:t>
        </w:r>
        <w:r w:rsidRPr="00174138">
          <w:rPr>
            <w:rFonts w:asciiTheme="minorHAnsi" w:eastAsiaTheme="minorEastAsia" w:hAnsiTheme="minorHAnsi" w:cstheme="minorBidi"/>
            <w:color w:val="auto"/>
            <w:sz w:val="22"/>
            <w:szCs w:val="22"/>
          </w:rPr>
          <w:tab/>
        </w:r>
        <w:r w:rsidRPr="00174138">
          <w:rPr>
            <w:rStyle w:val="Hyperlink"/>
          </w:rPr>
          <w:t>Comparație istorică</w:t>
        </w:r>
        <w:r w:rsidRPr="00174138">
          <w:rPr>
            <w:webHidden/>
          </w:rPr>
          <w:tab/>
        </w:r>
        <w:r w:rsidRPr="00174138">
          <w:rPr>
            <w:webHidden/>
          </w:rPr>
          <w:fldChar w:fldCharType="begin"/>
        </w:r>
        <w:r w:rsidRPr="00174138">
          <w:rPr>
            <w:webHidden/>
          </w:rPr>
          <w:instrText xml:space="preserve"> PAGEREF _Toc136509353 \h </w:instrText>
        </w:r>
        <w:r w:rsidRPr="00174138">
          <w:rPr>
            <w:webHidden/>
          </w:rPr>
        </w:r>
        <w:r w:rsidRPr="00174138">
          <w:rPr>
            <w:webHidden/>
          </w:rPr>
          <w:fldChar w:fldCharType="separate"/>
        </w:r>
        <w:r w:rsidR="006A0E03">
          <w:rPr>
            <w:webHidden/>
          </w:rPr>
          <w:t>22</w:t>
        </w:r>
        <w:r w:rsidRPr="00174138">
          <w:rPr>
            <w:webHidden/>
          </w:rPr>
          <w:fldChar w:fldCharType="end"/>
        </w:r>
      </w:hyperlink>
    </w:p>
    <w:p w14:paraId="292B19B6" w14:textId="61691F9A" w:rsidR="00F32813" w:rsidRPr="00174138" w:rsidRDefault="0096392C" w:rsidP="001445AF">
      <w:pPr>
        <w:rPr>
          <w:bCs/>
          <w:noProof/>
          <w:lang w:val="en-GB"/>
        </w:rPr>
      </w:pPr>
      <w:r w:rsidRPr="00174138">
        <w:rPr>
          <w:bCs/>
          <w:noProof/>
        </w:rPr>
        <w:fldChar w:fldCharType="end"/>
      </w:r>
      <w:r w:rsidR="00F32813" w:rsidRPr="00174138">
        <w:rPr>
          <w:bCs/>
          <w:noProof/>
        </w:rPr>
        <w:br w:type="page"/>
      </w:r>
    </w:p>
    <w:p w14:paraId="2EB401B2" w14:textId="167E9DFD" w:rsidR="00C54981" w:rsidRPr="00174138" w:rsidRDefault="00C54981" w:rsidP="00C54981">
      <w:pPr>
        <w:pStyle w:val="Heading1"/>
        <w:rPr>
          <w:lang w:val="en-GB"/>
        </w:rPr>
      </w:pPr>
      <w:bookmarkStart w:id="0" w:name="_Toc136509346"/>
      <w:bookmarkStart w:id="1" w:name="_Toc138088055"/>
      <w:bookmarkStart w:id="2" w:name="_Toc33006466"/>
      <w:bookmarkStart w:id="3" w:name="_Toc33007128"/>
      <w:bookmarkStart w:id="4" w:name="_Toc73692335"/>
      <w:r w:rsidRPr="00174138">
        <w:lastRenderedPageBreak/>
        <w:t>Introducere</w:t>
      </w:r>
      <w:bookmarkEnd w:id="0"/>
      <w:bookmarkEnd w:id="1"/>
    </w:p>
    <w:p w14:paraId="7E652FB0" w14:textId="47240648" w:rsidR="00D32312" w:rsidRPr="0087494E" w:rsidRDefault="008E08B9" w:rsidP="00A31D02">
      <w:pPr>
        <w:spacing w:before="0" w:after="60" w:line="276" w:lineRule="auto"/>
        <w:contextualSpacing w:val="0"/>
        <w:jc w:val="both"/>
        <w:rPr>
          <w:color w:val="auto"/>
          <w:szCs w:val="18"/>
        </w:rPr>
      </w:pPr>
      <w:r w:rsidRPr="00174138">
        <w:rPr>
          <w:rFonts w:cs="Arial"/>
          <w:szCs w:val="18"/>
        </w:rPr>
        <w:t xml:space="preserve">În conformitate cu articolul 4 din Reg. </w:t>
      </w:r>
      <w:r w:rsidRPr="0087494E">
        <w:rPr>
          <w:rFonts w:cs="Arial"/>
          <w:szCs w:val="18"/>
          <w:lang w:val="en-US"/>
        </w:rPr>
        <w:t xml:space="preserve">UE 2019/2088 ("Sustainable Finance Disclosure Regulation" </w:t>
      </w:r>
      <w:proofErr w:type="spellStart"/>
      <w:r w:rsidRPr="0087494E">
        <w:rPr>
          <w:rFonts w:cs="Arial"/>
          <w:szCs w:val="18"/>
          <w:lang w:val="en-US"/>
        </w:rPr>
        <w:t>sau</w:t>
      </w:r>
      <w:proofErr w:type="spellEnd"/>
      <w:r w:rsidRPr="0087494E">
        <w:rPr>
          <w:rFonts w:cs="Arial"/>
          <w:szCs w:val="18"/>
          <w:lang w:val="en-US"/>
        </w:rPr>
        <w:t xml:space="preserve"> "SFDR") </w:t>
      </w:r>
      <w:proofErr w:type="spellStart"/>
      <w:r w:rsidRPr="0087494E">
        <w:rPr>
          <w:rFonts w:cs="Arial"/>
          <w:szCs w:val="18"/>
          <w:lang w:val="en-US"/>
        </w:rPr>
        <w:t>și</w:t>
      </w:r>
      <w:proofErr w:type="spellEnd"/>
      <w:r w:rsidRPr="0087494E">
        <w:rPr>
          <w:rFonts w:cs="Arial"/>
          <w:szCs w:val="18"/>
          <w:lang w:val="en-US"/>
        </w:rPr>
        <w:t xml:space="preserve"> cu </w:t>
      </w:r>
      <w:proofErr w:type="spellStart"/>
      <w:r w:rsidRPr="0087494E">
        <w:rPr>
          <w:rFonts w:cs="Arial"/>
          <w:szCs w:val="18"/>
          <w:lang w:val="en-US"/>
        </w:rPr>
        <w:t>articolele</w:t>
      </w:r>
      <w:proofErr w:type="spellEnd"/>
      <w:r w:rsidRPr="0087494E">
        <w:rPr>
          <w:rFonts w:cs="Arial"/>
          <w:szCs w:val="18"/>
          <w:lang w:val="en-US"/>
        </w:rPr>
        <w:t xml:space="preserve"> 4-10 din Reg. UE 2022/1288 care </w:t>
      </w:r>
      <w:proofErr w:type="spellStart"/>
      <w:r w:rsidRPr="0087494E">
        <w:rPr>
          <w:rFonts w:cs="Arial"/>
          <w:szCs w:val="18"/>
          <w:lang w:val="en-US"/>
        </w:rPr>
        <w:t>completează</w:t>
      </w:r>
      <w:proofErr w:type="spellEnd"/>
      <w:r w:rsidRPr="0087494E">
        <w:rPr>
          <w:rFonts w:cs="Arial"/>
          <w:szCs w:val="18"/>
          <w:lang w:val="en-US"/>
        </w:rPr>
        <w:t xml:space="preserve"> Reg. </w:t>
      </w:r>
      <w:r w:rsidRPr="00174138">
        <w:rPr>
          <w:rFonts w:cs="Arial"/>
          <w:szCs w:val="18"/>
        </w:rPr>
        <w:t>UE 2019/2088 (RTS), Assicurazioni Generali S.p.A. publică această declarație</w:t>
      </w:r>
      <w:r w:rsidR="00A31D02" w:rsidRPr="00174138">
        <w:rPr>
          <w:szCs w:val="18"/>
        </w:rPr>
        <w:t xml:space="preserve"> privind politicile </w:t>
      </w:r>
      <w:proofErr w:type="gramStart"/>
      <w:r w:rsidR="00A31D02" w:rsidRPr="00174138">
        <w:rPr>
          <w:szCs w:val="18"/>
        </w:rPr>
        <w:t xml:space="preserve">de  </w:t>
      </w:r>
      <w:r w:rsidR="0087494E">
        <w:rPr>
          <w:szCs w:val="18"/>
        </w:rPr>
        <w:t>verificare</w:t>
      </w:r>
      <w:proofErr w:type="gramEnd"/>
      <w:r w:rsidR="0087494E">
        <w:rPr>
          <w:szCs w:val="18"/>
        </w:rPr>
        <w:t xml:space="preserve"> “</w:t>
      </w:r>
      <w:r w:rsidR="00A31D02" w:rsidRPr="00174138">
        <w:rPr>
          <w:szCs w:val="18"/>
        </w:rPr>
        <w:t>due diligence</w:t>
      </w:r>
      <w:r w:rsidR="0087494E">
        <w:rPr>
          <w:szCs w:val="18"/>
        </w:rPr>
        <w:t>”</w:t>
      </w:r>
      <w:r w:rsidR="00A31D02" w:rsidRPr="00174138">
        <w:rPr>
          <w:szCs w:val="18"/>
        </w:rPr>
        <w:t xml:space="preserve"> </w:t>
      </w:r>
      <w:r w:rsidR="00A31D02" w:rsidRPr="00174138">
        <w:rPr>
          <w:color w:val="auto"/>
          <w:szCs w:val="18"/>
        </w:rPr>
        <w:t xml:space="preserve">cu privire la principalele efecte negative ale deciziilor de investiții asupra factorilor </w:t>
      </w:r>
      <w:r w:rsidR="00EB5EB9" w:rsidRPr="00174138">
        <w:rPr>
          <w:rStyle w:val="FootnoteReference"/>
          <w:color w:val="auto"/>
          <w:sz w:val="18"/>
          <w:szCs w:val="18"/>
        </w:rPr>
        <w:footnoteReference w:id="2"/>
      </w:r>
      <w:r w:rsidR="007A2294" w:rsidRPr="00174138">
        <w:rPr>
          <w:color w:val="auto"/>
          <w:szCs w:val="18"/>
        </w:rPr>
        <w:t>de sustenabilitate (denumită în continuare și "Declarația privind principalele efecte negative (PAI)" sau "Declarația" care include:</w:t>
      </w:r>
    </w:p>
    <w:p w14:paraId="1255AD29" w14:textId="719D1EDC" w:rsidR="00D32312" w:rsidRPr="0087494E" w:rsidRDefault="00D32312" w:rsidP="00AA6795">
      <w:pPr>
        <w:pStyle w:val="ListParagraph"/>
        <w:numPr>
          <w:ilvl w:val="0"/>
          <w:numId w:val="19"/>
        </w:numPr>
        <w:rPr>
          <w:lang w:val="it-IT"/>
        </w:rPr>
      </w:pPr>
      <w:r w:rsidRPr="0087494E">
        <w:rPr>
          <w:lang w:val="it-IT"/>
        </w:rPr>
        <w:t xml:space="preserve">informații despre politicile lor privind identificarea și prioritizarea principalelor efecte și indicatori negativi în materie de durabilitate; </w:t>
      </w:r>
    </w:p>
    <w:p w14:paraId="76129A68" w14:textId="0999F01C" w:rsidR="00D32312" w:rsidRPr="0087494E" w:rsidRDefault="00D32312" w:rsidP="00AA6795">
      <w:pPr>
        <w:pStyle w:val="ListParagraph"/>
        <w:numPr>
          <w:ilvl w:val="0"/>
          <w:numId w:val="19"/>
        </w:numPr>
        <w:rPr>
          <w:lang w:val="it-IT"/>
        </w:rPr>
      </w:pPr>
      <w:r w:rsidRPr="0087494E">
        <w:rPr>
          <w:lang w:val="it-IT"/>
        </w:rPr>
        <w:t xml:space="preserve">o descriere a principalelor efecte negative asupra durabilității și a oricăror acțiuni în legătură cu acestea întreprinse sau, după caz, planificate; </w:t>
      </w:r>
    </w:p>
    <w:p w14:paraId="0539CBC0" w14:textId="15055BA8" w:rsidR="00D32312" w:rsidRPr="0087494E" w:rsidRDefault="00D32312" w:rsidP="00AA6795">
      <w:pPr>
        <w:pStyle w:val="ListParagraph"/>
        <w:numPr>
          <w:ilvl w:val="0"/>
          <w:numId w:val="19"/>
        </w:numPr>
        <w:rPr>
          <w:lang w:val="it-IT"/>
        </w:rPr>
      </w:pPr>
      <w:r w:rsidRPr="0087494E">
        <w:rPr>
          <w:lang w:val="it-IT"/>
        </w:rPr>
        <w:t xml:space="preserve">scurte rezumate ale politicilor de misiune în conformitate cu articolul 3g din Directiva 2007/36/CE, după caz; </w:t>
      </w:r>
    </w:p>
    <w:p w14:paraId="4DD25FC8" w14:textId="3B0779D4" w:rsidR="00450DCD" w:rsidRPr="0087494E" w:rsidRDefault="00D32312" w:rsidP="00AA6795">
      <w:pPr>
        <w:pStyle w:val="ListParagraph"/>
        <w:numPr>
          <w:ilvl w:val="0"/>
          <w:numId w:val="19"/>
        </w:numPr>
        <w:rPr>
          <w:color w:val="auto"/>
          <w:lang w:val="it-IT"/>
        </w:rPr>
      </w:pPr>
      <w:r w:rsidRPr="0087494E">
        <w:rPr>
          <w:lang w:val="it-IT"/>
        </w:rPr>
        <w:t>o trimitere la aderarea lor la codurile de conduită responsabilă în afaceri și la standardele recunoscute la nivel internațional în materie de diligență necesară și raportare și, după caz, gradul de aliniere la obiectivele Acordului de la Paris.</w:t>
      </w:r>
    </w:p>
    <w:p w14:paraId="79592F20" w14:textId="77777777" w:rsidR="007033B1" w:rsidRPr="0087494E" w:rsidRDefault="007033B1" w:rsidP="007033B1">
      <w:pPr>
        <w:rPr>
          <w:szCs w:val="18"/>
        </w:rPr>
      </w:pPr>
    </w:p>
    <w:bookmarkEnd w:id="2"/>
    <w:bookmarkEnd w:id="3"/>
    <w:bookmarkEnd w:id="4"/>
    <w:p w14:paraId="0A87CC38" w14:textId="77777777" w:rsidR="000C7B95" w:rsidRPr="0087494E" w:rsidRDefault="000C7B95" w:rsidP="00503915">
      <w:pPr>
        <w:rPr>
          <w:szCs w:val="18"/>
        </w:rPr>
      </w:pPr>
    </w:p>
    <w:p w14:paraId="319C1D6A" w14:textId="685D46E0" w:rsidR="00F32813" w:rsidRPr="0087494E" w:rsidRDefault="00F32813" w:rsidP="00B65630">
      <w:pPr>
        <w:spacing w:before="0" w:after="120" w:line="276" w:lineRule="auto"/>
        <w:contextualSpacing w:val="0"/>
        <w:jc w:val="both"/>
        <w:rPr>
          <w:color w:val="BD2027"/>
          <w:sz w:val="36"/>
          <w:szCs w:val="36"/>
        </w:rPr>
      </w:pPr>
      <w:r w:rsidRPr="00174138">
        <w:br w:type="page"/>
      </w:r>
    </w:p>
    <w:p w14:paraId="0D0F1E7A" w14:textId="16B228E2" w:rsidR="00F32813" w:rsidRPr="00174138" w:rsidRDefault="001927B0" w:rsidP="006747D2">
      <w:pPr>
        <w:pStyle w:val="Heading1"/>
        <w:rPr>
          <w:lang w:val="en-GB"/>
        </w:rPr>
      </w:pPr>
      <w:bookmarkStart w:id="5" w:name="_Toc136509347"/>
      <w:bookmarkStart w:id="6" w:name="_Toc138088056"/>
      <w:r w:rsidRPr="00174138">
        <w:lastRenderedPageBreak/>
        <w:t>Declarație privind principalele efecte negative ale deciziilor de investiții asupra factorilor de durabilitate</w:t>
      </w:r>
      <w:bookmarkEnd w:id="5"/>
      <w:bookmarkEnd w:id="6"/>
    </w:p>
    <w:p w14:paraId="1627D484" w14:textId="4B10B781" w:rsidR="00F32813" w:rsidRPr="00174138" w:rsidRDefault="00757490" w:rsidP="001F2A25">
      <w:pPr>
        <w:pStyle w:val="Heading2"/>
        <w:spacing w:after="120" w:line="240" w:lineRule="auto"/>
        <w:ind w:left="567" w:hanging="567"/>
        <w:rPr>
          <w:lang w:val="en-GB"/>
        </w:rPr>
      </w:pPr>
      <w:bookmarkStart w:id="7" w:name="_Toc136509348"/>
      <w:bookmarkStart w:id="8" w:name="_Toc138088057"/>
      <w:r w:rsidRPr="00174138">
        <w:t>Rezumat</w:t>
      </w:r>
      <w:bookmarkEnd w:id="7"/>
      <w:bookmarkEnd w:id="8"/>
    </w:p>
    <w:p w14:paraId="341884AC" w14:textId="398D83DD" w:rsidR="00F0476E" w:rsidRPr="0087494E" w:rsidRDefault="00524CA2" w:rsidP="0089179B">
      <w:pPr>
        <w:spacing w:before="0" w:after="120" w:line="276" w:lineRule="auto"/>
        <w:contextualSpacing w:val="0"/>
        <w:jc w:val="both"/>
        <w:rPr>
          <w:i/>
          <w:noProof/>
          <w:color w:val="FF0000"/>
        </w:rPr>
      </w:pPr>
      <w:bookmarkStart w:id="9" w:name="_Toc377473388"/>
      <w:bookmarkStart w:id="10" w:name="_Toc251333577"/>
      <w:bookmarkStart w:id="11" w:name="_Toc114500305"/>
      <w:r w:rsidRPr="00174138">
        <w:rPr>
          <w:iCs/>
          <w:noProof/>
          <w:color w:val="auto"/>
        </w:rPr>
        <w:t xml:space="preserve">Generali </w:t>
      </w:r>
      <w:r w:rsidR="0087494E">
        <w:rPr>
          <w:iCs/>
          <w:noProof/>
          <w:color w:val="auto"/>
        </w:rPr>
        <w:t xml:space="preserve">Romania </w:t>
      </w:r>
      <w:r w:rsidRPr="00174138">
        <w:rPr>
          <w:iCs/>
          <w:noProof/>
          <w:color w:val="auto"/>
        </w:rPr>
        <w:t xml:space="preserve"> </w:t>
      </w:r>
      <w:r w:rsidR="00F0476E" w:rsidRPr="00174138">
        <w:rPr>
          <w:iCs/>
          <w:noProof/>
        </w:rPr>
        <w:t>ia în considerare principalele efecte negative ale deciziilor sale de investiții asupra factorilor de durabilitate. Prezenta declarație este declarația consolidată privind principalele efecte negative asupra factorilor de sustenabilitate ale</w:t>
      </w:r>
      <w:r w:rsidR="00B025AF" w:rsidRPr="00174138">
        <w:rPr>
          <w:iCs/>
          <w:noProof/>
          <w:color w:val="auto"/>
        </w:rPr>
        <w:t xml:space="preserve"> Assicurazioni Generali S.p.A. </w:t>
      </w:r>
    </w:p>
    <w:p w14:paraId="287CBBA3" w14:textId="7C0E0A93" w:rsidR="00CD4B78" w:rsidRPr="0087494E" w:rsidRDefault="00CD4B78" w:rsidP="0089179B">
      <w:pPr>
        <w:spacing w:before="0" w:after="120" w:line="276" w:lineRule="auto"/>
        <w:contextualSpacing w:val="0"/>
        <w:jc w:val="both"/>
        <w:rPr>
          <w:iCs/>
          <w:noProof/>
        </w:rPr>
      </w:pPr>
      <w:r w:rsidRPr="00174138">
        <w:rPr>
          <w:iCs/>
          <w:noProof/>
        </w:rPr>
        <w:t xml:space="preserve">Prezenta declarație privind principalele efecte negative asupra factorilor de durabilitate acoperă perioada de referință cuprinsă între 1 ianuarie </w:t>
      </w:r>
      <w:r w:rsidR="00477C3C">
        <w:rPr>
          <w:iCs/>
          <w:noProof/>
        </w:rPr>
        <w:t xml:space="preserve">2024 </w:t>
      </w:r>
      <w:r w:rsidRPr="00174138">
        <w:rPr>
          <w:iCs/>
          <w:noProof/>
        </w:rPr>
        <w:t xml:space="preserve">și 31 decembrie </w:t>
      </w:r>
      <w:r w:rsidR="00477C3C">
        <w:rPr>
          <w:iCs/>
          <w:noProof/>
        </w:rPr>
        <w:t>2024</w:t>
      </w:r>
      <w:r w:rsidRPr="00174138">
        <w:rPr>
          <w:iCs/>
          <w:noProof/>
          <w:color w:val="auto"/>
        </w:rPr>
        <w:t>.</w:t>
      </w:r>
    </w:p>
    <w:p w14:paraId="17727D93" w14:textId="1FE44604" w:rsidR="002E6DE6" w:rsidRPr="0087494E" w:rsidRDefault="00C2783C" w:rsidP="0089179B">
      <w:pPr>
        <w:spacing w:before="0" w:after="120" w:line="276" w:lineRule="auto"/>
        <w:contextualSpacing w:val="0"/>
        <w:jc w:val="both"/>
        <w:rPr>
          <w:rFonts w:cs="Arial"/>
          <w:szCs w:val="18"/>
        </w:rPr>
      </w:pPr>
      <w:r w:rsidRPr="00174138">
        <w:rPr>
          <w:rFonts w:cs="Arial"/>
          <w:szCs w:val="18"/>
        </w:rPr>
        <w:t>Assicurazioni Generali S.p.A. este întreprinderea-mamă italiană finală a Grupului Generali. Apartenența la Grupul Generali înseamnă, de asemenea, să fii implicat în mai multe inițiative semnate de Grup și angajat în obiectivele comune de a urmări succesul durabil, inclusiv toate activitățile de asigurare și reasigurare.</w:t>
      </w:r>
    </w:p>
    <w:p w14:paraId="26B23033" w14:textId="71D099DD" w:rsidR="00403E19" w:rsidRPr="0087494E" w:rsidRDefault="00403E19" w:rsidP="0089179B">
      <w:pPr>
        <w:spacing w:before="0" w:after="120" w:line="276" w:lineRule="auto"/>
        <w:contextualSpacing w:val="0"/>
        <w:jc w:val="both"/>
        <w:rPr>
          <w:rFonts w:cs="Arial"/>
          <w:szCs w:val="18"/>
        </w:rPr>
      </w:pPr>
      <w:r w:rsidRPr="00174138">
        <w:rPr>
          <w:rFonts w:cs="Arial"/>
          <w:szCs w:val="18"/>
        </w:rPr>
        <w:t>Principalele efecte negative (PAI) ar trebui înțelese ca acele efecte ale deciziilor de investiții care au efecte negative asupra factorilor de durabilitate.</w:t>
      </w:r>
    </w:p>
    <w:p w14:paraId="729D9573" w14:textId="58734FC2" w:rsidR="0049121F" w:rsidRPr="0087494E" w:rsidRDefault="00403E19" w:rsidP="0089179B">
      <w:pPr>
        <w:spacing w:before="0" w:after="120" w:line="276" w:lineRule="auto"/>
        <w:contextualSpacing w:val="0"/>
        <w:jc w:val="both"/>
        <w:rPr>
          <w:rFonts w:cs="Arial"/>
          <w:szCs w:val="18"/>
        </w:rPr>
      </w:pPr>
      <w:r w:rsidRPr="00174138">
        <w:rPr>
          <w:rFonts w:cs="Arial"/>
          <w:szCs w:val="18"/>
        </w:rPr>
        <w:t xml:space="preserve">Assicurazioni Generali S.p.A. a depus eforturi pentru a evalua PAI în ceea ce privește factorii de sustenabilitate din portofoliul său și integrează managementul acestora în decizia de investiție în conformitate cu politicile prezentate și menționate în acest document, în concordanță cu abordarea Grupului Generali în materie de sustenabilitate. </w:t>
      </w:r>
    </w:p>
    <w:p w14:paraId="686573E1" w14:textId="164CA5EB" w:rsidR="0089686A" w:rsidRPr="0087494E" w:rsidRDefault="00403E19" w:rsidP="0049121F">
      <w:pPr>
        <w:spacing w:before="0" w:after="120" w:line="276" w:lineRule="auto"/>
        <w:contextualSpacing w:val="0"/>
        <w:jc w:val="both"/>
        <w:rPr>
          <w:rFonts w:cs="Arial"/>
          <w:szCs w:val="18"/>
        </w:rPr>
      </w:pPr>
      <w:r w:rsidRPr="00174138">
        <w:rPr>
          <w:rFonts w:cs="Arial"/>
          <w:szCs w:val="18"/>
        </w:rPr>
        <w:t xml:space="preserve">Assicurazioni Generali S.p.A. a luat măsuri și a planificat următorii pași pentru a aborda PAI în procesul de investiții, așa cum este detaliat în capitolul 2.2. În special, deoarece </w:t>
      </w:r>
      <w:r w:rsidR="00F66848" w:rsidRPr="00174138">
        <w:rPr>
          <w:rFonts w:eastAsia="Calibri" w:cs="Arial"/>
          <w:color w:val="auto"/>
          <w:szCs w:val="18"/>
          <w:lang w:eastAsia="en-US"/>
        </w:rPr>
        <w:t>schimbările climatice sunt un subiect de relevanță cheie pentru Grup (atât în ceea ce privește posibilul impact negativ generat de alegerile noastre de investiții, cât și în ceea ce privește riscul schimbărilor climatice la care sunt expuse investițiile noastre), prin Strategia Grupului privind schimbările climatice</w:t>
      </w:r>
      <w:r w:rsidR="00F66848" w:rsidRPr="00174138">
        <w:rPr>
          <w:rStyle w:val="FootnoteReference"/>
          <w:rFonts w:eastAsia="Calibri" w:cs="Arial"/>
          <w:color w:val="auto"/>
          <w:szCs w:val="18"/>
          <w:lang w:eastAsia="en-US"/>
        </w:rPr>
        <w:footnoteReference w:id="3"/>
      </w:r>
      <w:r w:rsidR="00C001D7" w:rsidRPr="00174138">
        <w:rPr>
          <w:rFonts w:eastAsia="Calibri" w:cs="Arial"/>
          <w:color w:val="auto"/>
          <w:szCs w:val="18"/>
          <w:lang w:eastAsia="en-US"/>
        </w:rPr>
        <w:t>, Assicurazioni Generali S.p.A. a definit și a întreprins acțiuni pentru a promova o tranziție echitabilă și justă din punct de vedere social către o economie cu emisii nete de gaze cu efect de seră (GES) zero. Strategia și măsurile implementate au permis abordarea monitorizării și gestionării atât a emisiilor de gaze cu efect de seră ale companiilor în care s-a investit, cât și a variabilelor care au impact direct asupra emisiilor de carbon, cum ar fi producția și consumul de combustibili fosili / energie neregenerabilă (indicatori PAI de la 1 la 5).</w:t>
      </w:r>
    </w:p>
    <w:p w14:paraId="2A9C3477" w14:textId="359F9252" w:rsidR="00DD76FE" w:rsidRPr="0087494E" w:rsidRDefault="00403E19" w:rsidP="0055492F">
      <w:pPr>
        <w:spacing w:before="0" w:after="120" w:line="276" w:lineRule="auto"/>
        <w:contextualSpacing w:val="0"/>
        <w:jc w:val="both"/>
        <w:rPr>
          <w:rFonts w:cs="Arial"/>
          <w:szCs w:val="18"/>
        </w:rPr>
      </w:pPr>
      <w:r w:rsidRPr="00174138">
        <w:rPr>
          <w:rFonts w:cs="Arial"/>
          <w:szCs w:val="18"/>
        </w:rPr>
        <w:t>Un rezumat al tuturor indicatorilor PAI luați în considerare de Assicurazioni Generali S.p.A. este prezentat în tabelul de mai jos, care include indicatorii PAI obligatorii și cei suplimentari identificați de Assicurazioni Generali S.p.A., precum și un rezumat al surselor utilizate pentru datele utilizate în calcul.</w:t>
      </w:r>
    </w:p>
    <w:p w14:paraId="50F71974" w14:textId="4B6821F9" w:rsidR="005D76F6" w:rsidRPr="0087494E" w:rsidRDefault="005D76F6" w:rsidP="003A73A3">
      <w:pPr>
        <w:widowControl/>
        <w:suppressAutoHyphens w:val="0"/>
        <w:spacing w:before="0" w:after="0" w:line="240" w:lineRule="auto"/>
        <w:contextualSpacing w:val="0"/>
        <w:rPr>
          <w:rFonts w:cs="Arial"/>
          <w:szCs w:val="18"/>
        </w:rPr>
      </w:pPr>
    </w:p>
    <w:tbl>
      <w:tblPr>
        <w:tblStyle w:val="TableGrid3"/>
        <w:tblW w:w="5000" w:type="pct"/>
        <w:tblLook w:val="04A0" w:firstRow="1" w:lastRow="0" w:firstColumn="1" w:lastColumn="0" w:noHBand="0" w:noVBand="1"/>
      </w:tblPr>
      <w:tblGrid>
        <w:gridCol w:w="2490"/>
        <w:gridCol w:w="862"/>
        <w:gridCol w:w="1039"/>
        <w:gridCol w:w="3472"/>
        <w:gridCol w:w="2325"/>
      </w:tblGrid>
      <w:tr w:rsidR="00BE410D" w:rsidRPr="00667CC2" w14:paraId="4840E282" w14:textId="1A29C257" w:rsidTr="00BE410D">
        <w:tc>
          <w:tcPr>
            <w:tcW w:w="1222" w:type="pct"/>
            <w:shd w:val="clear" w:color="auto" w:fill="C00000"/>
          </w:tcPr>
          <w:p w14:paraId="329850C2" w14:textId="2B374446" w:rsidR="00BE410D" w:rsidRPr="00174138" w:rsidRDefault="00BE410D" w:rsidP="005850C2">
            <w:pPr>
              <w:suppressAutoHyphens w:val="0"/>
              <w:rPr>
                <w:rFonts w:cs="Arial"/>
                <w:b/>
                <w:color w:val="FFFFFF"/>
                <w:sz w:val="16"/>
                <w:szCs w:val="16"/>
                <w:lang w:val="en-GB"/>
              </w:rPr>
            </w:pPr>
            <w:r w:rsidRPr="00174138">
              <w:rPr>
                <w:rFonts w:cs="Arial"/>
                <w:b/>
                <w:color w:val="FFFFFF"/>
                <w:sz w:val="16"/>
                <w:szCs w:val="16"/>
              </w:rPr>
              <w:t>Indicator aplicabil</w:t>
            </w:r>
          </w:p>
        </w:tc>
        <w:tc>
          <w:tcPr>
            <w:tcW w:w="423" w:type="pct"/>
            <w:shd w:val="clear" w:color="auto" w:fill="C00000"/>
          </w:tcPr>
          <w:p w14:paraId="185EDF3F" w14:textId="45E74535" w:rsidR="00BE410D" w:rsidRPr="00174138" w:rsidRDefault="00BE410D" w:rsidP="005850C2">
            <w:pPr>
              <w:suppressAutoHyphens w:val="0"/>
              <w:rPr>
                <w:rFonts w:cs="Arial"/>
                <w:b/>
                <w:color w:val="FFFFFF"/>
                <w:sz w:val="16"/>
                <w:szCs w:val="16"/>
                <w:lang w:val="en-GB"/>
              </w:rPr>
            </w:pPr>
            <w:r w:rsidRPr="00174138">
              <w:rPr>
                <w:rFonts w:cs="Arial"/>
                <w:b/>
                <w:color w:val="FFFFFF"/>
                <w:sz w:val="16"/>
                <w:szCs w:val="16"/>
              </w:rPr>
              <w:t>Masă</w:t>
            </w:r>
            <w:r w:rsidRPr="00174138">
              <w:rPr>
                <w:rStyle w:val="FootnoteReference"/>
                <w:rFonts w:cs="Arial"/>
                <w:b/>
                <w:color w:val="FFFFFF"/>
                <w:sz w:val="16"/>
                <w:szCs w:val="16"/>
              </w:rPr>
              <w:footnoteReference w:id="4"/>
            </w:r>
          </w:p>
        </w:tc>
        <w:tc>
          <w:tcPr>
            <w:tcW w:w="510" w:type="pct"/>
            <w:shd w:val="clear" w:color="auto" w:fill="C00000"/>
          </w:tcPr>
          <w:p w14:paraId="0AA73348" w14:textId="77777777" w:rsidR="00BE410D" w:rsidRPr="00174138" w:rsidRDefault="00BE410D" w:rsidP="005850C2">
            <w:pPr>
              <w:suppressAutoHyphens w:val="0"/>
              <w:rPr>
                <w:rFonts w:cs="Arial"/>
                <w:b/>
                <w:color w:val="FFFFFF"/>
                <w:sz w:val="16"/>
                <w:szCs w:val="16"/>
                <w:lang w:val="en-GB"/>
              </w:rPr>
            </w:pPr>
            <w:r w:rsidRPr="00174138">
              <w:rPr>
                <w:rFonts w:cs="Arial"/>
                <w:b/>
                <w:color w:val="FFFFFF"/>
                <w:sz w:val="16"/>
                <w:szCs w:val="16"/>
              </w:rPr>
              <w:t>Număr</w:t>
            </w:r>
          </w:p>
        </w:tc>
        <w:tc>
          <w:tcPr>
            <w:tcW w:w="1704" w:type="pct"/>
            <w:shd w:val="clear" w:color="auto" w:fill="C00000"/>
          </w:tcPr>
          <w:p w14:paraId="4B66F7E5" w14:textId="77777777" w:rsidR="00BE410D" w:rsidRPr="00174138" w:rsidRDefault="00BE410D" w:rsidP="005850C2">
            <w:pPr>
              <w:suppressAutoHyphens w:val="0"/>
              <w:rPr>
                <w:rFonts w:cs="Arial"/>
                <w:b/>
                <w:color w:val="FFFFFF"/>
                <w:sz w:val="16"/>
                <w:szCs w:val="16"/>
                <w:lang w:val="en-GB"/>
              </w:rPr>
            </w:pPr>
            <w:r w:rsidRPr="00174138">
              <w:rPr>
                <w:rFonts w:cs="Arial"/>
                <w:b/>
                <w:color w:val="FFFFFF"/>
                <w:sz w:val="16"/>
                <w:szCs w:val="16"/>
              </w:rPr>
              <w:t>Indicator de sustenabilitate negativ</w:t>
            </w:r>
          </w:p>
        </w:tc>
        <w:tc>
          <w:tcPr>
            <w:tcW w:w="1141" w:type="pct"/>
            <w:shd w:val="clear" w:color="auto" w:fill="C00000"/>
          </w:tcPr>
          <w:p w14:paraId="416B6923" w14:textId="4C6150FB" w:rsidR="00BE410D" w:rsidRPr="00174138" w:rsidRDefault="00BE410D" w:rsidP="005850C2">
            <w:pPr>
              <w:suppressAutoHyphens w:val="0"/>
              <w:rPr>
                <w:rFonts w:cs="Arial"/>
                <w:b/>
                <w:color w:val="FFFFFF"/>
                <w:sz w:val="16"/>
                <w:szCs w:val="16"/>
                <w:lang w:val="en-GB"/>
              </w:rPr>
            </w:pPr>
            <w:r w:rsidRPr="00174138">
              <w:rPr>
                <w:rFonts w:cs="Arial"/>
                <w:b/>
                <w:color w:val="FFFFFF"/>
                <w:sz w:val="16"/>
                <w:szCs w:val="16"/>
              </w:rPr>
              <w:t>Sursa datelor</w:t>
            </w:r>
            <w:r w:rsidR="00541D97">
              <w:rPr>
                <w:rFonts w:cs="Arial"/>
                <w:b/>
                <w:color w:val="FFFFFF"/>
                <w:sz w:val="16"/>
                <w:szCs w:val="16"/>
              </w:rPr>
              <w:t xml:space="preserve"> </w:t>
            </w:r>
          </w:p>
        </w:tc>
      </w:tr>
      <w:tr w:rsidR="00BE410D" w:rsidRPr="00174138" w14:paraId="5D955597" w14:textId="306A9B16" w:rsidTr="00BE410D">
        <w:tc>
          <w:tcPr>
            <w:tcW w:w="1222" w:type="pct"/>
            <w:vMerge w:val="restart"/>
          </w:tcPr>
          <w:p w14:paraId="7C3E78A7" w14:textId="1E800188" w:rsidR="00BE410D" w:rsidRPr="00174138" w:rsidRDefault="00BE410D" w:rsidP="002C674C">
            <w:pPr>
              <w:suppressAutoHyphens w:val="0"/>
              <w:rPr>
                <w:rFonts w:cs="Arial"/>
                <w:sz w:val="16"/>
                <w:szCs w:val="16"/>
                <w:lang w:val="en-GB"/>
              </w:rPr>
            </w:pPr>
            <w:proofErr w:type="spellStart"/>
            <w:r w:rsidRPr="0087494E">
              <w:rPr>
                <w:rFonts w:cs="Arial"/>
                <w:sz w:val="16"/>
                <w:szCs w:val="16"/>
                <w:lang w:val="en-US"/>
              </w:rPr>
              <w:t>Companii</w:t>
            </w:r>
            <w:proofErr w:type="spellEnd"/>
            <w:r w:rsidRPr="0087494E">
              <w:rPr>
                <w:rFonts w:cs="Arial"/>
                <w:sz w:val="16"/>
                <w:szCs w:val="16"/>
                <w:lang w:val="en-US"/>
              </w:rPr>
              <w:t xml:space="preserve"> </w:t>
            </w:r>
            <w:proofErr w:type="spellStart"/>
            <w:r w:rsidRPr="0087494E">
              <w:rPr>
                <w:rFonts w:cs="Arial"/>
                <w:sz w:val="16"/>
                <w:szCs w:val="16"/>
                <w:lang w:val="en-US"/>
              </w:rPr>
              <w:t>în</w:t>
            </w:r>
            <w:proofErr w:type="spellEnd"/>
            <w:r w:rsidRPr="0087494E">
              <w:rPr>
                <w:rFonts w:cs="Arial"/>
                <w:sz w:val="16"/>
                <w:szCs w:val="16"/>
                <w:lang w:val="en-US"/>
              </w:rPr>
              <w:t xml:space="preserve"> care s-</w:t>
            </w:r>
            <w:proofErr w:type="gramStart"/>
            <w:r w:rsidRPr="0087494E">
              <w:rPr>
                <w:rFonts w:cs="Arial"/>
                <w:sz w:val="16"/>
                <w:szCs w:val="16"/>
                <w:lang w:val="en-US"/>
              </w:rPr>
              <w:t>a</w:t>
            </w:r>
            <w:proofErr w:type="gramEnd"/>
            <w:r w:rsidRPr="0087494E">
              <w:rPr>
                <w:rFonts w:cs="Arial"/>
                <w:sz w:val="16"/>
                <w:szCs w:val="16"/>
                <w:lang w:val="en-US"/>
              </w:rPr>
              <w:t xml:space="preserve"> </w:t>
            </w:r>
            <w:proofErr w:type="spellStart"/>
            <w:r w:rsidRPr="0087494E">
              <w:rPr>
                <w:rFonts w:cs="Arial"/>
                <w:sz w:val="16"/>
                <w:szCs w:val="16"/>
                <w:lang w:val="en-US"/>
              </w:rPr>
              <w:t>investit</w:t>
            </w:r>
            <w:proofErr w:type="spellEnd"/>
          </w:p>
        </w:tc>
        <w:tc>
          <w:tcPr>
            <w:tcW w:w="423" w:type="pct"/>
          </w:tcPr>
          <w:p w14:paraId="03A7A04C"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50BD4060"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1704" w:type="pct"/>
          </w:tcPr>
          <w:p w14:paraId="075B88A2" w14:textId="77777777" w:rsidR="00BE410D" w:rsidRPr="00174138" w:rsidRDefault="00BE410D" w:rsidP="002C674C">
            <w:pPr>
              <w:suppressAutoHyphens w:val="0"/>
              <w:rPr>
                <w:rFonts w:cs="Arial"/>
                <w:sz w:val="16"/>
                <w:szCs w:val="16"/>
                <w:lang w:val="en-GB"/>
              </w:rPr>
            </w:pPr>
            <w:r w:rsidRPr="00174138">
              <w:rPr>
                <w:rFonts w:cs="Arial"/>
                <w:sz w:val="16"/>
                <w:szCs w:val="16"/>
              </w:rPr>
              <w:t>Emisii de GES</w:t>
            </w:r>
          </w:p>
        </w:tc>
        <w:tc>
          <w:tcPr>
            <w:tcW w:w="1141" w:type="pct"/>
          </w:tcPr>
          <w:p w14:paraId="7462E4FE" w14:textId="0D0D1A58" w:rsidR="00BE410D" w:rsidRPr="00174138" w:rsidRDefault="00BE410D" w:rsidP="002C674C">
            <w:pPr>
              <w:suppressAutoHyphens w:val="0"/>
              <w:rPr>
                <w:rFonts w:cs="Arial"/>
                <w:sz w:val="16"/>
                <w:szCs w:val="16"/>
                <w:lang w:val="en-GB"/>
              </w:rPr>
            </w:pPr>
            <w:r w:rsidRPr="00174138">
              <w:rPr>
                <w:rFonts w:cs="Arial"/>
                <w:sz w:val="16"/>
                <w:szCs w:val="16"/>
              </w:rPr>
              <w:t>Furnizor extern de date</w:t>
            </w:r>
            <w:r w:rsidRPr="00174138">
              <w:rPr>
                <w:rStyle w:val="FootnoteReference"/>
                <w:rFonts w:cs="Arial"/>
                <w:sz w:val="16"/>
                <w:szCs w:val="16"/>
              </w:rPr>
              <w:footnoteReference w:id="5"/>
            </w:r>
          </w:p>
        </w:tc>
      </w:tr>
      <w:tr w:rsidR="00BE410D" w:rsidRPr="00174138" w14:paraId="4A0D3EAD" w14:textId="4DF9E958" w:rsidTr="00BE410D">
        <w:tc>
          <w:tcPr>
            <w:tcW w:w="1222" w:type="pct"/>
            <w:vMerge/>
          </w:tcPr>
          <w:p w14:paraId="4501582C" w14:textId="77777777" w:rsidR="00BE410D" w:rsidRPr="00174138" w:rsidRDefault="00BE410D" w:rsidP="002C674C">
            <w:pPr>
              <w:suppressAutoHyphens w:val="0"/>
              <w:rPr>
                <w:rFonts w:cs="Arial"/>
                <w:sz w:val="16"/>
                <w:szCs w:val="16"/>
                <w:lang w:val="en-GB"/>
              </w:rPr>
            </w:pPr>
          </w:p>
        </w:tc>
        <w:tc>
          <w:tcPr>
            <w:tcW w:w="423" w:type="pct"/>
          </w:tcPr>
          <w:p w14:paraId="5FA0736A"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297884C6" w14:textId="77777777" w:rsidR="00BE410D" w:rsidRPr="00174138" w:rsidRDefault="00BE410D" w:rsidP="002C674C">
            <w:pPr>
              <w:suppressAutoHyphens w:val="0"/>
              <w:jc w:val="center"/>
              <w:rPr>
                <w:rFonts w:cs="Arial"/>
                <w:sz w:val="16"/>
                <w:szCs w:val="16"/>
                <w:lang w:val="en-GB"/>
              </w:rPr>
            </w:pPr>
            <w:r w:rsidRPr="00174138">
              <w:rPr>
                <w:rFonts w:cs="Arial"/>
                <w:sz w:val="16"/>
                <w:szCs w:val="16"/>
              </w:rPr>
              <w:t>2</w:t>
            </w:r>
          </w:p>
        </w:tc>
        <w:tc>
          <w:tcPr>
            <w:tcW w:w="1704" w:type="pct"/>
          </w:tcPr>
          <w:p w14:paraId="0F8A5C8D" w14:textId="77777777" w:rsidR="00BE410D" w:rsidRPr="00174138" w:rsidRDefault="00BE410D" w:rsidP="002C674C">
            <w:pPr>
              <w:suppressAutoHyphens w:val="0"/>
              <w:rPr>
                <w:rFonts w:cs="Arial"/>
                <w:sz w:val="16"/>
                <w:szCs w:val="16"/>
                <w:lang w:val="en-GB"/>
              </w:rPr>
            </w:pPr>
            <w:r w:rsidRPr="00174138">
              <w:rPr>
                <w:rFonts w:cs="Arial"/>
                <w:sz w:val="16"/>
                <w:szCs w:val="16"/>
              </w:rPr>
              <w:t>Amprenta de carbon</w:t>
            </w:r>
          </w:p>
        </w:tc>
        <w:tc>
          <w:tcPr>
            <w:tcW w:w="1141" w:type="pct"/>
          </w:tcPr>
          <w:p w14:paraId="07E5B2E9" w14:textId="738E063E"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4D921407" w14:textId="035DBFBB" w:rsidTr="00BE410D">
        <w:tc>
          <w:tcPr>
            <w:tcW w:w="1222" w:type="pct"/>
            <w:vMerge/>
          </w:tcPr>
          <w:p w14:paraId="792A4830" w14:textId="77777777" w:rsidR="00BE410D" w:rsidRPr="00174138" w:rsidRDefault="00BE410D" w:rsidP="002C674C">
            <w:pPr>
              <w:suppressAutoHyphens w:val="0"/>
              <w:rPr>
                <w:rFonts w:cs="Arial"/>
                <w:sz w:val="16"/>
                <w:szCs w:val="16"/>
                <w:lang w:val="en-GB"/>
              </w:rPr>
            </w:pPr>
          </w:p>
        </w:tc>
        <w:tc>
          <w:tcPr>
            <w:tcW w:w="423" w:type="pct"/>
          </w:tcPr>
          <w:p w14:paraId="6620555E"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0177E1C7" w14:textId="77777777" w:rsidR="00BE410D" w:rsidRPr="00174138" w:rsidRDefault="00BE410D" w:rsidP="002C674C">
            <w:pPr>
              <w:suppressAutoHyphens w:val="0"/>
              <w:jc w:val="center"/>
              <w:rPr>
                <w:rFonts w:cs="Arial"/>
                <w:sz w:val="16"/>
                <w:szCs w:val="16"/>
                <w:lang w:val="en-GB"/>
              </w:rPr>
            </w:pPr>
            <w:r w:rsidRPr="00174138">
              <w:rPr>
                <w:rFonts w:cs="Arial"/>
                <w:sz w:val="16"/>
                <w:szCs w:val="16"/>
              </w:rPr>
              <w:t>3</w:t>
            </w:r>
          </w:p>
        </w:tc>
        <w:tc>
          <w:tcPr>
            <w:tcW w:w="1704" w:type="pct"/>
          </w:tcPr>
          <w:p w14:paraId="6F1D2E9C" w14:textId="77777777" w:rsidR="00BE410D" w:rsidRPr="00174138" w:rsidRDefault="00BE410D" w:rsidP="002C674C">
            <w:pPr>
              <w:suppressAutoHyphens w:val="0"/>
              <w:rPr>
                <w:rFonts w:cs="Arial"/>
                <w:sz w:val="16"/>
                <w:szCs w:val="16"/>
                <w:lang w:val="en-GB"/>
              </w:rPr>
            </w:pPr>
            <w:proofErr w:type="spellStart"/>
            <w:r w:rsidRPr="0087494E">
              <w:rPr>
                <w:rFonts w:cs="Arial"/>
                <w:sz w:val="16"/>
                <w:szCs w:val="16"/>
                <w:lang w:val="en-US"/>
              </w:rPr>
              <w:t>Intensitatea</w:t>
            </w:r>
            <w:proofErr w:type="spellEnd"/>
            <w:r w:rsidRPr="0087494E">
              <w:rPr>
                <w:rFonts w:cs="Arial"/>
                <w:sz w:val="16"/>
                <w:szCs w:val="16"/>
                <w:lang w:val="en-US"/>
              </w:rPr>
              <w:t xml:space="preserve"> GES a </w:t>
            </w:r>
            <w:proofErr w:type="spellStart"/>
            <w:r w:rsidRPr="0087494E">
              <w:rPr>
                <w:rFonts w:cs="Arial"/>
                <w:sz w:val="16"/>
                <w:szCs w:val="16"/>
                <w:lang w:val="en-US"/>
              </w:rPr>
              <w:t>companiilor</w:t>
            </w:r>
            <w:proofErr w:type="spellEnd"/>
            <w:r w:rsidRPr="0087494E">
              <w:rPr>
                <w:rFonts w:cs="Arial"/>
                <w:sz w:val="16"/>
                <w:szCs w:val="16"/>
                <w:lang w:val="en-US"/>
              </w:rPr>
              <w:t xml:space="preserve"> </w:t>
            </w:r>
            <w:proofErr w:type="spellStart"/>
            <w:r w:rsidRPr="0087494E">
              <w:rPr>
                <w:rFonts w:cs="Arial"/>
                <w:sz w:val="16"/>
                <w:szCs w:val="16"/>
                <w:lang w:val="en-US"/>
              </w:rPr>
              <w:t>în</w:t>
            </w:r>
            <w:proofErr w:type="spellEnd"/>
            <w:r w:rsidRPr="0087494E">
              <w:rPr>
                <w:rFonts w:cs="Arial"/>
                <w:sz w:val="16"/>
                <w:szCs w:val="16"/>
                <w:lang w:val="en-US"/>
              </w:rPr>
              <w:t xml:space="preserve"> care s-</w:t>
            </w:r>
            <w:proofErr w:type="gramStart"/>
            <w:r w:rsidRPr="0087494E">
              <w:rPr>
                <w:rFonts w:cs="Arial"/>
                <w:sz w:val="16"/>
                <w:szCs w:val="16"/>
                <w:lang w:val="en-US"/>
              </w:rPr>
              <w:t>a</w:t>
            </w:r>
            <w:proofErr w:type="gramEnd"/>
            <w:r w:rsidRPr="0087494E">
              <w:rPr>
                <w:rFonts w:cs="Arial"/>
                <w:sz w:val="16"/>
                <w:szCs w:val="16"/>
                <w:lang w:val="en-US"/>
              </w:rPr>
              <w:t xml:space="preserve"> </w:t>
            </w:r>
            <w:proofErr w:type="spellStart"/>
            <w:r w:rsidRPr="0087494E">
              <w:rPr>
                <w:rFonts w:cs="Arial"/>
                <w:sz w:val="16"/>
                <w:szCs w:val="16"/>
                <w:lang w:val="en-US"/>
              </w:rPr>
              <w:t>investit</w:t>
            </w:r>
            <w:proofErr w:type="spellEnd"/>
          </w:p>
        </w:tc>
        <w:tc>
          <w:tcPr>
            <w:tcW w:w="1141" w:type="pct"/>
          </w:tcPr>
          <w:p w14:paraId="398B9014" w14:textId="510C4E56"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0368EDEA" w14:textId="7E7D3D64" w:rsidTr="00BE410D">
        <w:tc>
          <w:tcPr>
            <w:tcW w:w="1222" w:type="pct"/>
            <w:vMerge/>
          </w:tcPr>
          <w:p w14:paraId="78173192" w14:textId="77777777" w:rsidR="00BE410D" w:rsidRPr="00174138" w:rsidRDefault="00BE410D" w:rsidP="002C674C">
            <w:pPr>
              <w:suppressAutoHyphens w:val="0"/>
              <w:rPr>
                <w:rFonts w:cs="Arial"/>
                <w:sz w:val="16"/>
                <w:szCs w:val="16"/>
                <w:lang w:val="en-GB"/>
              </w:rPr>
            </w:pPr>
          </w:p>
        </w:tc>
        <w:tc>
          <w:tcPr>
            <w:tcW w:w="423" w:type="pct"/>
          </w:tcPr>
          <w:p w14:paraId="2CD5B6DC"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1DD4E37A" w14:textId="77777777" w:rsidR="00BE410D" w:rsidRPr="00174138" w:rsidRDefault="00BE410D" w:rsidP="002C674C">
            <w:pPr>
              <w:suppressAutoHyphens w:val="0"/>
              <w:jc w:val="center"/>
              <w:rPr>
                <w:rFonts w:cs="Arial"/>
                <w:sz w:val="16"/>
                <w:szCs w:val="16"/>
                <w:lang w:val="en-GB"/>
              </w:rPr>
            </w:pPr>
            <w:r w:rsidRPr="00174138">
              <w:rPr>
                <w:rFonts w:cs="Arial"/>
                <w:sz w:val="16"/>
                <w:szCs w:val="16"/>
              </w:rPr>
              <w:t>4</w:t>
            </w:r>
          </w:p>
        </w:tc>
        <w:tc>
          <w:tcPr>
            <w:tcW w:w="1704" w:type="pct"/>
          </w:tcPr>
          <w:p w14:paraId="0B2772BA" w14:textId="77777777" w:rsidR="00BE410D" w:rsidRPr="00174138" w:rsidRDefault="00BE410D" w:rsidP="002C674C">
            <w:pPr>
              <w:suppressAutoHyphens w:val="0"/>
              <w:rPr>
                <w:rFonts w:cs="Arial"/>
                <w:sz w:val="16"/>
                <w:szCs w:val="16"/>
                <w:lang w:val="en-GB"/>
              </w:rPr>
            </w:pPr>
            <w:r w:rsidRPr="00174138">
              <w:rPr>
                <w:rFonts w:cs="Arial"/>
                <w:sz w:val="16"/>
                <w:szCs w:val="16"/>
              </w:rPr>
              <w:t>Expunerea la companii active în sectorul combustibililor fosili</w:t>
            </w:r>
          </w:p>
        </w:tc>
        <w:tc>
          <w:tcPr>
            <w:tcW w:w="1141" w:type="pct"/>
          </w:tcPr>
          <w:p w14:paraId="37617BE5" w14:textId="0A55EA8B"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7720A80D" w14:textId="7D5F8D69" w:rsidTr="00BE410D">
        <w:tc>
          <w:tcPr>
            <w:tcW w:w="1222" w:type="pct"/>
            <w:vMerge/>
          </w:tcPr>
          <w:p w14:paraId="6B7BE127" w14:textId="77777777" w:rsidR="00BE410D" w:rsidRPr="00174138" w:rsidRDefault="00BE410D" w:rsidP="002C674C">
            <w:pPr>
              <w:suppressAutoHyphens w:val="0"/>
              <w:rPr>
                <w:rFonts w:cs="Arial"/>
                <w:sz w:val="16"/>
                <w:szCs w:val="16"/>
                <w:lang w:val="en-GB"/>
              </w:rPr>
            </w:pPr>
          </w:p>
        </w:tc>
        <w:tc>
          <w:tcPr>
            <w:tcW w:w="423" w:type="pct"/>
          </w:tcPr>
          <w:p w14:paraId="0A798963"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739843F3" w14:textId="77777777" w:rsidR="00BE410D" w:rsidRPr="00174138" w:rsidRDefault="00BE410D" w:rsidP="002C674C">
            <w:pPr>
              <w:suppressAutoHyphens w:val="0"/>
              <w:jc w:val="center"/>
              <w:rPr>
                <w:rFonts w:cs="Arial"/>
                <w:sz w:val="16"/>
                <w:szCs w:val="16"/>
                <w:lang w:val="en-GB"/>
              </w:rPr>
            </w:pPr>
            <w:r w:rsidRPr="00174138">
              <w:rPr>
                <w:rFonts w:cs="Arial"/>
                <w:sz w:val="16"/>
                <w:szCs w:val="16"/>
              </w:rPr>
              <w:t>5</w:t>
            </w:r>
          </w:p>
        </w:tc>
        <w:tc>
          <w:tcPr>
            <w:tcW w:w="1704" w:type="pct"/>
          </w:tcPr>
          <w:p w14:paraId="3373A8D4" w14:textId="77777777" w:rsidR="00BE410D" w:rsidRPr="0087494E" w:rsidRDefault="00BE410D" w:rsidP="002C674C">
            <w:pPr>
              <w:suppressAutoHyphens w:val="0"/>
              <w:rPr>
                <w:rFonts w:cs="Arial"/>
                <w:sz w:val="16"/>
                <w:szCs w:val="16"/>
              </w:rPr>
            </w:pPr>
            <w:r w:rsidRPr="00174138">
              <w:rPr>
                <w:rFonts w:cs="Arial"/>
                <w:sz w:val="16"/>
                <w:szCs w:val="16"/>
              </w:rPr>
              <w:t>Ponderea consumului și producției de energie neregenerabilă</w:t>
            </w:r>
          </w:p>
        </w:tc>
        <w:tc>
          <w:tcPr>
            <w:tcW w:w="1141" w:type="pct"/>
          </w:tcPr>
          <w:p w14:paraId="6C5E6F23" w14:textId="266C8349"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31F610A9" w14:textId="2CC7BE2D" w:rsidTr="00BE410D">
        <w:tc>
          <w:tcPr>
            <w:tcW w:w="1222" w:type="pct"/>
            <w:vMerge/>
          </w:tcPr>
          <w:p w14:paraId="3ADBEF29" w14:textId="77777777" w:rsidR="00BE410D" w:rsidRPr="00174138" w:rsidRDefault="00BE410D" w:rsidP="002C674C">
            <w:pPr>
              <w:suppressAutoHyphens w:val="0"/>
              <w:rPr>
                <w:rFonts w:cs="Arial"/>
                <w:sz w:val="16"/>
                <w:szCs w:val="16"/>
                <w:lang w:val="en-GB"/>
              </w:rPr>
            </w:pPr>
          </w:p>
        </w:tc>
        <w:tc>
          <w:tcPr>
            <w:tcW w:w="423" w:type="pct"/>
          </w:tcPr>
          <w:p w14:paraId="2272DC3A"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2B7758DD" w14:textId="77777777" w:rsidR="00BE410D" w:rsidRPr="00174138" w:rsidRDefault="00BE410D" w:rsidP="002C674C">
            <w:pPr>
              <w:suppressAutoHyphens w:val="0"/>
              <w:jc w:val="center"/>
              <w:rPr>
                <w:rFonts w:cs="Arial"/>
                <w:sz w:val="16"/>
                <w:szCs w:val="16"/>
                <w:lang w:val="en-GB"/>
              </w:rPr>
            </w:pPr>
            <w:r w:rsidRPr="00174138">
              <w:rPr>
                <w:rFonts w:cs="Arial"/>
                <w:sz w:val="16"/>
                <w:szCs w:val="16"/>
              </w:rPr>
              <w:t>6</w:t>
            </w:r>
          </w:p>
        </w:tc>
        <w:tc>
          <w:tcPr>
            <w:tcW w:w="1704" w:type="pct"/>
          </w:tcPr>
          <w:p w14:paraId="1C98EE2E" w14:textId="77777777" w:rsidR="00BE410D" w:rsidRPr="0087494E" w:rsidRDefault="00BE410D" w:rsidP="002C674C">
            <w:pPr>
              <w:suppressAutoHyphens w:val="0"/>
              <w:rPr>
                <w:rFonts w:cs="Arial"/>
                <w:sz w:val="16"/>
                <w:szCs w:val="16"/>
              </w:rPr>
            </w:pPr>
            <w:r w:rsidRPr="00174138">
              <w:rPr>
                <w:rFonts w:cs="Arial"/>
                <w:sz w:val="16"/>
                <w:szCs w:val="16"/>
              </w:rPr>
              <w:t>Intensitatea consumului de energie pe sectorul climatic cu impact ridicat</w:t>
            </w:r>
          </w:p>
        </w:tc>
        <w:tc>
          <w:tcPr>
            <w:tcW w:w="1141" w:type="pct"/>
          </w:tcPr>
          <w:p w14:paraId="7FF0688A" w14:textId="13C3FA24"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7A63D739" w14:textId="6497D1A2" w:rsidTr="00BE410D">
        <w:tc>
          <w:tcPr>
            <w:tcW w:w="1222" w:type="pct"/>
            <w:vMerge/>
          </w:tcPr>
          <w:p w14:paraId="47E9F4D7" w14:textId="77777777" w:rsidR="00BE410D" w:rsidRPr="00174138" w:rsidRDefault="00BE410D" w:rsidP="002C674C">
            <w:pPr>
              <w:suppressAutoHyphens w:val="0"/>
              <w:rPr>
                <w:rFonts w:cs="Arial"/>
                <w:sz w:val="16"/>
                <w:szCs w:val="16"/>
                <w:lang w:val="en-GB"/>
              </w:rPr>
            </w:pPr>
          </w:p>
        </w:tc>
        <w:tc>
          <w:tcPr>
            <w:tcW w:w="423" w:type="pct"/>
          </w:tcPr>
          <w:p w14:paraId="7562C6F3"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6977593A" w14:textId="77777777" w:rsidR="00BE410D" w:rsidRPr="00174138" w:rsidRDefault="00BE410D" w:rsidP="002C674C">
            <w:pPr>
              <w:suppressAutoHyphens w:val="0"/>
              <w:jc w:val="center"/>
              <w:rPr>
                <w:rFonts w:cs="Arial"/>
                <w:sz w:val="16"/>
                <w:szCs w:val="16"/>
                <w:lang w:val="en-GB"/>
              </w:rPr>
            </w:pPr>
            <w:r w:rsidRPr="00174138">
              <w:rPr>
                <w:rFonts w:cs="Arial"/>
                <w:sz w:val="16"/>
                <w:szCs w:val="16"/>
              </w:rPr>
              <w:t>7</w:t>
            </w:r>
          </w:p>
        </w:tc>
        <w:tc>
          <w:tcPr>
            <w:tcW w:w="1704" w:type="pct"/>
          </w:tcPr>
          <w:p w14:paraId="22A6F724" w14:textId="77777777" w:rsidR="00BE410D" w:rsidRPr="0087494E" w:rsidRDefault="00BE410D" w:rsidP="002C674C">
            <w:pPr>
              <w:suppressAutoHyphens w:val="0"/>
              <w:rPr>
                <w:rFonts w:cs="Arial"/>
                <w:sz w:val="16"/>
                <w:szCs w:val="16"/>
              </w:rPr>
            </w:pPr>
            <w:r w:rsidRPr="00174138">
              <w:rPr>
                <w:rFonts w:cs="Arial"/>
                <w:sz w:val="16"/>
                <w:szCs w:val="16"/>
              </w:rPr>
              <w:t>Activități care afectează în mod negativ zonele sensibile la biodiversitate</w:t>
            </w:r>
          </w:p>
        </w:tc>
        <w:tc>
          <w:tcPr>
            <w:tcW w:w="1141" w:type="pct"/>
          </w:tcPr>
          <w:p w14:paraId="7E366465" w14:textId="3E990CC3"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32863616" w14:textId="2902732D" w:rsidTr="00BE410D">
        <w:tc>
          <w:tcPr>
            <w:tcW w:w="1222" w:type="pct"/>
            <w:vMerge/>
          </w:tcPr>
          <w:p w14:paraId="634499EB" w14:textId="77777777" w:rsidR="00BE410D" w:rsidRPr="00174138" w:rsidRDefault="00BE410D" w:rsidP="002C674C">
            <w:pPr>
              <w:suppressAutoHyphens w:val="0"/>
              <w:rPr>
                <w:rFonts w:cs="Arial"/>
                <w:sz w:val="16"/>
                <w:szCs w:val="16"/>
                <w:lang w:val="en-GB"/>
              </w:rPr>
            </w:pPr>
          </w:p>
        </w:tc>
        <w:tc>
          <w:tcPr>
            <w:tcW w:w="423" w:type="pct"/>
          </w:tcPr>
          <w:p w14:paraId="59D1C215"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5F0F872E" w14:textId="77777777" w:rsidR="00BE410D" w:rsidRPr="00174138" w:rsidRDefault="00BE410D" w:rsidP="002C674C">
            <w:pPr>
              <w:suppressAutoHyphens w:val="0"/>
              <w:jc w:val="center"/>
              <w:rPr>
                <w:rFonts w:cs="Arial"/>
                <w:sz w:val="16"/>
                <w:szCs w:val="16"/>
                <w:lang w:val="en-GB"/>
              </w:rPr>
            </w:pPr>
            <w:r w:rsidRPr="00174138">
              <w:rPr>
                <w:rFonts w:cs="Arial"/>
                <w:sz w:val="16"/>
                <w:szCs w:val="16"/>
              </w:rPr>
              <w:t>8</w:t>
            </w:r>
          </w:p>
        </w:tc>
        <w:tc>
          <w:tcPr>
            <w:tcW w:w="1704" w:type="pct"/>
          </w:tcPr>
          <w:p w14:paraId="71C1CA99" w14:textId="77777777" w:rsidR="00BE410D" w:rsidRPr="00174138" w:rsidRDefault="00BE410D" w:rsidP="002C674C">
            <w:pPr>
              <w:suppressAutoHyphens w:val="0"/>
              <w:rPr>
                <w:rFonts w:cs="Arial"/>
                <w:sz w:val="16"/>
                <w:szCs w:val="16"/>
                <w:lang w:val="en-GB"/>
              </w:rPr>
            </w:pPr>
            <w:r w:rsidRPr="00174138">
              <w:rPr>
                <w:rFonts w:cs="Arial"/>
                <w:sz w:val="16"/>
                <w:szCs w:val="16"/>
              </w:rPr>
              <w:t>Emisii în apă</w:t>
            </w:r>
          </w:p>
        </w:tc>
        <w:tc>
          <w:tcPr>
            <w:tcW w:w="1141" w:type="pct"/>
          </w:tcPr>
          <w:p w14:paraId="73597ED7" w14:textId="7847669A"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08E5C92E" w14:textId="4BCB7170" w:rsidTr="00BE410D">
        <w:tc>
          <w:tcPr>
            <w:tcW w:w="1222" w:type="pct"/>
            <w:vMerge/>
          </w:tcPr>
          <w:p w14:paraId="61D5B00C" w14:textId="77777777" w:rsidR="00BE410D" w:rsidRPr="00174138" w:rsidRDefault="00BE410D" w:rsidP="002C674C">
            <w:pPr>
              <w:suppressAutoHyphens w:val="0"/>
              <w:rPr>
                <w:rFonts w:cs="Arial"/>
                <w:sz w:val="16"/>
                <w:szCs w:val="16"/>
                <w:lang w:val="en-GB"/>
              </w:rPr>
            </w:pPr>
          </w:p>
        </w:tc>
        <w:tc>
          <w:tcPr>
            <w:tcW w:w="423" w:type="pct"/>
          </w:tcPr>
          <w:p w14:paraId="5DCFB631"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048D5CFB" w14:textId="77777777" w:rsidR="00BE410D" w:rsidRPr="00174138" w:rsidRDefault="00BE410D" w:rsidP="002C674C">
            <w:pPr>
              <w:suppressAutoHyphens w:val="0"/>
              <w:jc w:val="center"/>
              <w:rPr>
                <w:rFonts w:cs="Arial"/>
                <w:sz w:val="16"/>
                <w:szCs w:val="16"/>
                <w:lang w:val="en-GB"/>
              </w:rPr>
            </w:pPr>
            <w:r w:rsidRPr="00174138">
              <w:rPr>
                <w:rFonts w:cs="Arial"/>
                <w:sz w:val="16"/>
                <w:szCs w:val="16"/>
              </w:rPr>
              <w:t>9</w:t>
            </w:r>
          </w:p>
        </w:tc>
        <w:tc>
          <w:tcPr>
            <w:tcW w:w="1704" w:type="pct"/>
          </w:tcPr>
          <w:p w14:paraId="3E34C13B" w14:textId="77777777" w:rsidR="00BE410D" w:rsidRPr="00174138" w:rsidRDefault="00BE410D" w:rsidP="002C674C">
            <w:pPr>
              <w:suppressAutoHyphens w:val="0"/>
              <w:rPr>
                <w:rFonts w:cs="Arial"/>
                <w:sz w:val="16"/>
                <w:szCs w:val="16"/>
                <w:lang w:val="en-GB"/>
              </w:rPr>
            </w:pPr>
            <w:r w:rsidRPr="00174138">
              <w:rPr>
                <w:rFonts w:cs="Arial"/>
                <w:sz w:val="16"/>
                <w:szCs w:val="16"/>
              </w:rPr>
              <w:t>Raportul deșeurilor periculoase și al deșeurilor radioactive</w:t>
            </w:r>
          </w:p>
        </w:tc>
        <w:tc>
          <w:tcPr>
            <w:tcW w:w="1141" w:type="pct"/>
          </w:tcPr>
          <w:p w14:paraId="2C9DFD84" w14:textId="5E3F7465"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0A4AD803" w14:textId="47682BBA" w:rsidTr="00BE410D">
        <w:tc>
          <w:tcPr>
            <w:tcW w:w="1222" w:type="pct"/>
            <w:vMerge/>
          </w:tcPr>
          <w:p w14:paraId="7263ADE5" w14:textId="77777777" w:rsidR="00BE410D" w:rsidRPr="00174138" w:rsidRDefault="00BE410D" w:rsidP="005D76F6">
            <w:pPr>
              <w:suppressAutoHyphens w:val="0"/>
              <w:rPr>
                <w:rFonts w:cs="Arial"/>
                <w:sz w:val="16"/>
                <w:szCs w:val="16"/>
                <w:lang w:val="en-GB"/>
              </w:rPr>
            </w:pPr>
          </w:p>
        </w:tc>
        <w:tc>
          <w:tcPr>
            <w:tcW w:w="423" w:type="pct"/>
          </w:tcPr>
          <w:p w14:paraId="75130F44" w14:textId="77777777" w:rsidR="00BE410D" w:rsidRPr="00174138" w:rsidRDefault="00BE410D" w:rsidP="005D76F6">
            <w:pPr>
              <w:suppressAutoHyphens w:val="0"/>
              <w:jc w:val="center"/>
              <w:rPr>
                <w:rFonts w:cs="Arial"/>
                <w:sz w:val="16"/>
                <w:szCs w:val="16"/>
                <w:lang w:val="en-GB"/>
              </w:rPr>
            </w:pPr>
            <w:r w:rsidRPr="00174138">
              <w:rPr>
                <w:rFonts w:cs="Arial"/>
                <w:sz w:val="16"/>
                <w:szCs w:val="16"/>
              </w:rPr>
              <w:t>1</w:t>
            </w:r>
          </w:p>
        </w:tc>
        <w:tc>
          <w:tcPr>
            <w:tcW w:w="510" w:type="pct"/>
          </w:tcPr>
          <w:p w14:paraId="773DA540" w14:textId="77777777" w:rsidR="00BE410D" w:rsidRPr="00174138" w:rsidRDefault="00BE410D" w:rsidP="005D76F6">
            <w:pPr>
              <w:suppressAutoHyphens w:val="0"/>
              <w:jc w:val="center"/>
              <w:rPr>
                <w:rFonts w:cs="Arial"/>
                <w:sz w:val="16"/>
                <w:szCs w:val="16"/>
                <w:lang w:val="en-GB"/>
              </w:rPr>
            </w:pPr>
            <w:r w:rsidRPr="00174138">
              <w:rPr>
                <w:rFonts w:cs="Arial"/>
                <w:sz w:val="16"/>
                <w:szCs w:val="16"/>
              </w:rPr>
              <w:t>10</w:t>
            </w:r>
          </w:p>
        </w:tc>
        <w:tc>
          <w:tcPr>
            <w:tcW w:w="1704" w:type="pct"/>
          </w:tcPr>
          <w:p w14:paraId="12F98AB4" w14:textId="77777777" w:rsidR="00BE410D" w:rsidRPr="0087494E" w:rsidRDefault="00BE410D" w:rsidP="005D76F6">
            <w:pPr>
              <w:suppressAutoHyphens w:val="0"/>
              <w:rPr>
                <w:rFonts w:cs="Arial"/>
                <w:sz w:val="16"/>
                <w:szCs w:val="16"/>
              </w:rPr>
            </w:pPr>
            <w:r w:rsidRPr="00174138">
              <w:rPr>
                <w:rFonts w:cs="Arial"/>
                <w:sz w:val="16"/>
                <w:szCs w:val="16"/>
              </w:rPr>
              <w:t>Încălcări ale principiilor Pactului Global al ONU și ale Orientărilor Organizației pentru Cooperare și Dezvoltare Economică (OCDE) pentru întreprinderile multinaționale</w:t>
            </w:r>
          </w:p>
        </w:tc>
        <w:tc>
          <w:tcPr>
            <w:tcW w:w="1141" w:type="pct"/>
          </w:tcPr>
          <w:p w14:paraId="2B18CFF6" w14:textId="28374890" w:rsidR="00BE410D" w:rsidRPr="00174138" w:rsidRDefault="00BE410D" w:rsidP="005D76F6">
            <w:pPr>
              <w:suppressAutoHyphens w:val="0"/>
              <w:rPr>
                <w:rFonts w:cs="Arial"/>
                <w:sz w:val="16"/>
                <w:szCs w:val="16"/>
                <w:lang w:val="en-GB"/>
              </w:rPr>
            </w:pPr>
            <w:r w:rsidRPr="00174138">
              <w:rPr>
                <w:rFonts w:cs="Arial"/>
                <w:sz w:val="16"/>
                <w:szCs w:val="16"/>
              </w:rPr>
              <w:t>Furnizor extern de date; Analiza internă Generali</w:t>
            </w:r>
          </w:p>
        </w:tc>
      </w:tr>
      <w:tr w:rsidR="00BE410D" w:rsidRPr="00174138" w14:paraId="3C6ECD28" w14:textId="77FC5CB5" w:rsidTr="00BE410D">
        <w:tc>
          <w:tcPr>
            <w:tcW w:w="1222" w:type="pct"/>
            <w:vMerge/>
          </w:tcPr>
          <w:p w14:paraId="744D9C8A" w14:textId="77777777" w:rsidR="00BE410D" w:rsidRPr="00174138" w:rsidRDefault="00BE410D" w:rsidP="002C674C">
            <w:pPr>
              <w:suppressAutoHyphens w:val="0"/>
              <w:rPr>
                <w:rFonts w:cs="Arial"/>
                <w:sz w:val="16"/>
                <w:szCs w:val="16"/>
                <w:lang w:val="en-GB"/>
              </w:rPr>
            </w:pPr>
          </w:p>
        </w:tc>
        <w:tc>
          <w:tcPr>
            <w:tcW w:w="423" w:type="pct"/>
          </w:tcPr>
          <w:p w14:paraId="607B55D6"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7698EEBF"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11</w:t>
            </w:r>
          </w:p>
        </w:tc>
        <w:tc>
          <w:tcPr>
            <w:tcW w:w="1704" w:type="pct"/>
          </w:tcPr>
          <w:p w14:paraId="640C06D4" w14:textId="77777777" w:rsidR="00BE410D" w:rsidRPr="0087494E" w:rsidRDefault="00BE410D" w:rsidP="002C674C">
            <w:pPr>
              <w:suppressAutoHyphens w:val="0"/>
              <w:rPr>
                <w:rFonts w:cs="Arial"/>
                <w:sz w:val="16"/>
                <w:szCs w:val="16"/>
              </w:rPr>
            </w:pPr>
            <w:r w:rsidRPr="00174138">
              <w:rPr>
                <w:rFonts w:cs="Arial"/>
                <w:sz w:val="16"/>
                <w:szCs w:val="16"/>
              </w:rPr>
              <w:t>Lipsa proceselor și a mecanismelor de conformitate pentru a monitoriza respectarea principiilor Pactului Global al ONU și a Orientărilor OCDE pentru întreprinderile multinaționale</w:t>
            </w:r>
          </w:p>
        </w:tc>
        <w:tc>
          <w:tcPr>
            <w:tcW w:w="1141" w:type="pct"/>
          </w:tcPr>
          <w:p w14:paraId="70A7E1EA" w14:textId="5343B1BA" w:rsidR="00BE410D" w:rsidRPr="00174138" w:rsidRDefault="00BE410D" w:rsidP="002C674C">
            <w:pPr>
              <w:suppressAutoHyphens w:val="0"/>
              <w:rPr>
                <w:rFonts w:cs="Arial"/>
                <w:sz w:val="16"/>
                <w:szCs w:val="16"/>
                <w:lang w:val="en-GB"/>
              </w:rPr>
            </w:pPr>
            <w:r w:rsidRPr="00174138">
              <w:rPr>
                <w:rFonts w:cs="Arial"/>
                <w:sz w:val="16"/>
                <w:szCs w:val="16"/>
              </w:rPr>
              <w:t xml:space="preserve">Furnizor extern de date </w:t>
            </w:r>
          </w:p>
        </w:tc>
      </w:tr>
      <w:tr w:rsidR="00BE410D" w:rsidRPr="00174138" w14:paraId="2B48D38C" w14:textId="0F7B13C0" w:rsidTr="00BE410D">
        <w:tc>
          <w:tcPr>
            <w:tcW w:w="1222" w:type="pct"/>
            <w:vMerge/>
          </w:tcPr>
          <w:p w14:paraId="01C13EB8" w14:textId="77777777" w:rsidR="00BE410D" w:rsidRPr="00174138" w:rsidRDefault="00BE410D" w:rsidP="002C674C">
            <w:pPr>
              <w:suppressAutoHyphens w:val="0"/>
              <w:rPr>
                <w:rFonts w:cs="Arial"/>
                <w:sz w:val="16"/>
                <w:szCs w:val="16"/>
                <w:lang w:val="en-GB"/>
              </w:rPr>
            </w:pPr>
          </w:p>
        </w:tc>
        <w:tc>
          <w:tcPr>
            <w:tcW w:w="423" w:type="pct"/>
          </w:tcPr>
          <w:p w14:paraId="6D8FBB62"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3E1494B1"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12</w:t>
            </w:r>
          </w:p>
        </w:tc>
        <w:tc>
          <w:tcPr>
            <w:tcW w:w="1704" w:type="pct"/>
          </w:tcPr>
          <w:p w14:paraId="36991F0C" w14:textId="77777777" w:rsidR="00BE410D" w:rsidRPr="0087494E" w:rsidRDefault="00BE410D" w:rsidP="002C674C">
            <w:pPr>
              <w:suppressAutoHyphens w:val="0"/>
              <w:rPr>
                <w:rFonts w:cs="Arial"/>
                <w:sz w:val="16"/>
                <w:szCs w:val="16"/>
              </w:rPr>
            </w:pPr>
            <w:r w:rsidRPr="00174138">
              <w:rPr>
                <w:rFonts w:cs="Arial"/>
                <w:sz w:val="16"/>
                <w:szCs w:val="16"/>
              </w:rPr>
              <w:t>Diferența de remunerare între femei și bărbați neajustată</w:t>
            </w:r>
          </w:p>
        </w:tc>
        <w:tc>
          <w:tcPr>
            <w:tcW w:w="1141" w:type="pct"/>
          </w:tcPr>
          <w:p w14:paraId="717E0372" w14:textId="171054A5" w:rsidR="00BE410D" w:rsidRPr="00174138" w:rsidRDefault="00BE410D" w:rsidP="002C674C">
            <w:pPr>
              <w:suppressAutoHyphens w:val="0"/>
              <w:rPr>
                <w:rFonts w:cs="Arial"/>
                <w:sz w:val="16"/>
                <w:szCs w:val="16"/>
                <w:lang w:val="en-GB"/>
              </w:rPr>
            </w:pPr>
            <w:r w:rsidRPr="00174138">
              <w:rPr>
                <w:rFonts w:cs="Arial"/>
                <w:sz w:val="16"/>
                <w:szCs w:val="16"/>
              </w:rPr>
              <w:t xml:space="preserve">Furnizor extern de date </w:t>
            </w:r>
          </w:p>
        </w:tc>
      </w:tr>
      <w:tr w:rsidR="00BE410D" w:rsidRPr="00174138" w14:paraId="3355C542" w14:textId="1FDA8FD5" w:rsidTr="00BE410D">
        <w:tc>
          <w:tcPr>
            <w:tcW w:w="1222" w:type="pct"/>
            <w:vMerge/>
          </w:tcPr>
          <w:p w14:paraId="23E86094" w14:textId="77777777" w:rsidR="00BE410D" w:rsidRPr="00174138" w:rsidRDefault="00BE410D" w:rsidP="002C674C">
            <w:pPr>
              <w:suppressAutoHyphens w:val="0"/>
              <w:rPr>
                <w:rFonts w:cs="Arial"/>
                <w:sz w:val="16"/>
                <w:szCs w:val="16"/>
                <w:lang w:val="en-GB"/>
              </w:rPr>
            </w:pPr>
          </w:p>
        </w:tc>
        <w:tc>
          <w:tcPr>
            <w:tcW w:w="423" w:type="pct"/>
          </w:tcPr>
          <w:p w14:paraId="24CDC284"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04AC1700"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13</w:t>
            </w:r>
          </w:p>
        </w:tc>
        <w:tc>
          <w:tcPr>
            <w:tcW w:w="1704" w:type="pct"/>
          </w:tcPr>
          <w:p w14:paraId="58FB14B2" w14:textId="77777777" w:rsidR="00BE410D" w:rsidRPr="0087494E" w:rsidRDefault="00BE410D" w:rsidP="002C674C">
            <w:pPr>
              <w:suppressAutoHyphens w:val="0"/>
              <w:rPr>
                <w:rFonts w:cs="Arial"/>
                <w:sz w:val="16"/>
                <w:szCs w:val="16"/>
              </w:rPr>
            </w:pPr>
            <w:r w:rsidRPr="00174138">
              <w:rPr>
                <w:rFonts w:cs="Arial"/>
                <w:sz w:val="16"/>
                <w:szCs w:val="16"/>
              </w:rPr>
              <w:t>Diversitatea de gen în consiliul de administrație</w:t>
            </w:r>
          </w:p>
        </w:tc>
        <w:tc>
          <w:tcPr>
            <w:tcW w:w="1141" w:type="pct"/>
          </w:tcPr>
          <w:p w14:paraId="4BC21D18" w14:textId="3730B144" w:rsidR="00BE410D" w:rsidRPr="00174138" w:rsidRDefault="00BE410D" w:rsidP="002C674C">
            <w:pPr>
              <w:suppressAutoHyphens w:val="0"/>
              <w:rPr>
                <w:rFonts w:cs="Arial"/>
                <w:sz w:val="16"/>
                <w:szCs w:val="16"/>
                <w:lang w:val="en-GB"/>
              </w:rPr>
            </w:pPr>
            <w:r w:rsidRPr="00174138">
              <w:rPr>
                <w:rFonts w:cs="Arial"/>
                <w:sz w:val="16"/>
                <w:szCs w:val="16"/>
              </w:rPr>
              <w:t xml:space="preserve">Furnizor extern de date </w:t>
            </w:r>
          </w:p>
        </w:tc>
      </w:tr>
      <w:tr w:rsidR="00BE410D" w:rsidRPr="00174138" w14:paraId="6B8028BD" w14:textId="46B9ACEA" w:rsidTr="00BE410D">
        <w:tc>
          <w:tcPr>
            <w:tcW w:w="1222" w:type="pct"/>
            <w:vMerge/>
          </w:tcPr>
          <w:p w14:paraId="7C7D5196" w14:textId="77777777" w:rsidR="00BE410D" w:rsidRPr="00174138" w:rsidRDefault="00BE410D" w:rsidP="005D76F6">
            <w:pPr>
              <w:suppressAutoHyphens w:val="0"/>
              <w:rPr>
                <w:rFonts w:cs="Arial"/>
                <w:sz w:val="16"/>
                <w:szCs w:val="16"/>
                <w:lang w:val="en-GB"/>
              </w:rPr>
            </w:pPr>
          </w:p>
        </w:tc>
        <w:tc>
          <w:tcPr>
            <w:tcW w:w="423" w:type="pct"/>
          </w:tcPr>
          <w:p w14:paraId="6EAFD4CF" w14:textId="77777777" w:rsidR="00BE410D" w:rsidRPr="00174138" w:rsidRDefault="00BE410D" w:rsidP="005D76F6">
            <w:pPr>
              <w:suppressAutoHyphens w:val="0"/>
              <w:jc w:val="center"/>
              <w:rPr>
                <w:rFonts w:cs="Arial"/>
                <w:sz w:val="16"/>
                <w:szCs w:val="16"/>
                <w:lang w:val="en-GB"/>
              </w:rPr>
            </w:pPr>
            <w:r w:rsidRPr="00174138">
              <w:rPr>
                <w:rFonts w:cs="Arial"/>
                <w:sz w:val="16"/>
                <w:szCs w:val="16"/>
              </w:rPr>
              <w:t>1</w:t>
            </w:r>
          </w:p>
        </w:tc>
        <w:tc>
          <w:tcPr>
            <w:tcW w:w="510" w:type="pct"/>
          </w:tcPr>
          <w:p w14:paraId="6A840A00" w14:textId="77777777" w:rsidR="00BE410D" w:rsidRPr="00174138" w:rsidRDefault="00BE410D" w:rsidP="005D76F6">
            <w:pPr>
              <w:suppressAutoHyphens w:val="0"/>
              <w:jc w:val="center"/>
              <w:rPr>
                <w:rFonts w:cs="Arial"/>
                <w:sz w:val="16"/>
                <w:szCs w:val="16"/>
                <w:lang w:val="en-GB"/>
              </w:rPr>
            </w:pPr>
            <w:r w:rsidRPr="00174138">
              <w:rPr>
                <w:rFonts w:cs="Arial"/>
                <w:sz w:val="16"/>
                <w:szCs w:val="16"/>
              </w:rPr>
              <w:t>14</w:t>
            </w:r>
          </w:p>
        </w:tc>
        <w:tc>
          <w:tcPr>
            <w:tcW w:w="1704" w:type="pct"/>
          </w:tcPr>
          <w:p w14:paraId="66808521" w14:textId="77777777" w:rsidR="00BE410D" w:rsidRPr="0087494E" w:rsidRDefault="00BE410D" w:rsidP="005D76F6">
            <w:pPr>
              <w:suppressAutoHyphens w:val="0"/>
              <w:rPr>
                <w:rFonts w:cs="Arial"/>
                <w:sz w:val="16"/>
                <w:szCs w:val="16"/>
              </w:rPr>
            </w:pPr>
            <w:r w:rsidRPr="00174138">
              <w:rPr>
                <w:rFonts w:cs="Arial"/>
                <w:sz w:val="16"/>
                <w:szCs w:val="16"/>
              </w:rPr>
              <w:t>Expunerea la arme controversate (mine antipersonal, muniții cu dispersie, arme chimice și arme biologice)</w:t>
            </w:r>
          </w:p>
        </w:tc>
        <w:tc>
          <w:tcPr>
            <w:tcW w:w="1141" w:type="pct"/>
          </w:tcPr>
          <w:p w14:paraId="0285972B" w14:textId="76A10078" w:rsidR="00BE410D" w:rsidRPr="00174138" w:rsidRDefault="00BE410D" w:rsidP="005D76F6">
            <w:pPr>
              <w:suppressAutoHyphens w:val="0"/>
              <w:rPr>
                <w:rFonts w:cs="Arial"/>
                <w:sz w:val="16"/>
                <w:szCs w:val="16"/>
                <w:lang w:val="en-GB"/>
              </w:rPr>
            </w:pPr>
            <w:r w:rsidRPr="00174138">
              <w:rPr>
                <w:rFonts w:cs="Arial"/>
                <w:sz w:val="16"/>
                <w:szCs w:val="16"/>
              </w:rPr>
              <w:t>Furnizor extern de date; Analiza internă Generali</w:t>
            </w:r>
          </w:p>
        </w:tc>
      </w:tr>
      <w:tr w:rsidR="00BE410D" w:rsidRPr="00174138" w14:paraId="5F0A3398" w14:textId="55E77338" w:rsidTr="00BE410D">
        <w:tc>
          <w:tcPr>
            <w:tcW w:w="1222" w:type="pct"/>
            <w:vMerge/>
          </w:tcPr>
          <w:p w14:paraId="2EA7CE20" w14:textId="77777777" w:rsidR="00BE410D" w:rsidRPr="00174138" w:rsidRDefault="00BE410D" w:rsidP="002C674C">
            <w:pPr>
              <w:suppressAutoHyphens w:val="0"/>
              <w:rPr>
                <w:rFonts w:cs="Arial"/>
                <w:sz w:val="16"/>
                <w:szCs w:val="16"/>
                <w:lang w:val="en-GB"/>
              </w:rPr>
            </w:pPr>
          </w:p>
        </w:tc>
        <w:tc>
          <w:tcPr>
            <w:tcW w:w="423" w:type="pct"/>
          </w:tcPr>
          <w:p w14:paraId="769B7804" w14:textId="77777777" w:rsidR="00BE410D" w:rsidRPr="00174138" w:rsidRDefault="00BE410D" w:rsidP="002C674C">
            <w:pPr>
              <w:suppressAutoHyphens w:val="0"/>
              <w:jc w:val="center"/>
              <w:rPr>
                <w:rFonts w:cs="Arial"/>
                <w:sz w:val="16"/>
                <w:szCs w:val="16"/>
                <w:lang w:val="en-GB"/>
              </w:rPr>
            </w:pPr>
            <w:r w:rsidRPr="00174138">
              <w:rPr>
                <w:rFonts w:cs="Arial"/>
                <w:sz w:val="16"/>
                <w:szCs w:val="16"/>
              </w:rPr>
              <w:t>2</w:t>
            </w:r>
          </w:p>
        </w:tc>
        <w:tc>
          <w:tcPr>
            <w:tcW w:w="510" w:type="pct"/>
          </w:tcPr>
          <w:p w14:paraId="45581BDA" w14:textId="77777777" w:rsidR="00BE410D" w:rsidRPr="00174138" w:rsidRDefault="00BE410D" w:rsidP="002C674C">
            <w:pPr>
              <w:suppressAutoHyphens w:val="0"/>
              <w:jc w:val="center"/>
              <w:rPr>
                <w:rFonts w:cs="Arial"/>
                <w:sz w:val="16"/>
                <w:szCs w:val="16"/>
                <w:lang w:val="en-GB"/>
              </w:rPr>
            </w:pPr>
            <w:r w:rsidRPr="00174138">
              <w:rPr>
                <w:rFonts w:cs="Arial"/>
                <w:sz w:val="16"/>
                <w:szCs w:val="16"/>
              </w:rPr>
              <w:t>4</w:t>
            </w:r>
          </w:p>
        </w:tc>
        <w:tc>
          <w:tcPr>
            <w:tcW w:w="1704" w:type="pct"/>
          </w:tcPr>
          <w:p w14:paraId="60315156" w14:textId="77777777" w:rsidR="00BE410D" w:rsidRPr="00174138" w:rsidRDefault="00BE410D" w:rsidP="002C674C">
            <w:pPr>
              <w:suppressAutoHyphens w:val="0"/>
              <w:rPr>
                <w:rFonts w:cs="Arial"/>
                <w:sz w:val="16"/>
                <w:szCs w:val="16"/>
                <w:lang w:val="en-GB"/>
              </w:rPr>
            </w:pPr>
            <w:r w:rsidRPr="00174138">
              <w:rPr>
                <w:rFonts w:cs="Arial"/>
                <w:sz w:val="16"/>
                <w:szCs w:val="16"/>
              </w:rPr>
              <w:t>Investiții în companii fără inițiative de reducere a emisiilor de carbon</w:t>
            </w:r>
          </w:p>
        </w:tc>
        <w:tc>
          <w:tcPr>
            <w:tcW w:w="1141" w:type="pct"/>
          </w:tcPr>
          <w:p w14:paraId="2CDC0BB9" w14:textId="1831C1E9"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2AB06783" w14:textId="55C72921" w:rsidTr="00BE410D">
        <w:tc>
          <w:tcPr>
            <w:tcW w:w="1222" w:type="pct"/>
            <w:vMerge w:val="restart"/>
          </w:tcPr>
          <w:p w14:paraId="256A48E1" w14:textId="77777777" w:rsidR="00BE410D" w:rsidRPr="00174138" w:rsidRDefault="00BE410D" w:rsidP="002C674C">
            <w:pPr>
              <w:suppressAutoHyphens w:val="0"/>
              <w:rPr>
                <w:rFonts w:cs="Arial"/>
                <w:sz w:val="16"/>
                <w:szCs w:val="16"/>
                <w:lang w:val="en-GB"/>
              </w:rPr>
            </w:pPr>
            <w:r w:rsidRPr="00174138">
              <w:rPr>
                <w:rFonts w:cs="Arial"/>
                <w:sz w:val="16"/>
                <w:szCs w:val="16"/>
              </w:rPr>
              <w:t>Suverani și supranaționali</w:t>
            </w:r>
          </w:p>
        </w:tc>
        <w:tc>
          <w:tcPr>
            <w:tcW w:w="423" w:type="pct"/>
          </w:tcPr>
          <w:p w14:paraId="797AA079"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706B3FC2"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15</w:t>
            </w:r>
          </w:p>
        </w:tc>
        <w:tc>
          <w:tcPr>
            <w:tcW w:w="1704" w:type="pct"/>
          </w:tcPr>
          <w:p w14:paraId="5D79F4C7" w14:textId="77777777" w:rsidR="00BE410D" w:rsidRPr="00174138" w:rsidRDefault="00BE410D" w:rsidP="002C674C">
            <w:pPr>
              <w:suppressAutoHyphens w:val="0"/>
              <w:rPr>
                <w:rFonts w:cs="Arial"/>
                <w:sz w:val="16"/>
                <w:szCs w:val="16"/>
                <w:lang w:val="en-GB"/>
              </w:rPr>
            </w:pPr>
            <w:proofErr w:type="spellStart"/>
            <w:r w:rsidRPr="0087494E">
              <w:rPr>
                <w:rFonts w:cs="Arial"/>
                <w:sz w:val="16"/>
                <w:szCs w:val="16"/>
                <w:lang w:val="en-US"/>
              </w:rPr>
              <w:t>Intensitatea</w:t>
            </w:r>
            <w:proofErr w:type="spellEnd"/>
            <w:r w:rsidRPr="0087494E">
              <w:rPr>
                <w:rFonts w:cs="Arial"/>
                <w:sz w:val="16"/>
                <w:szCs w:val="16"/>
                <w:lang w:val="en-US"/>
              </w:rPr>
              <w:t xml:space="preserve"> GES a </w:t>
            </w:r>
            <w:proofErr w:type="spellStart"/>
            <w:r w:rsidRPr="0087494E">
              <w:rPr>
                <w:rFonts w:cs="Arial"/>
                <w:sz w:val="16"/>
                <w:szCs w:val="16"/>
                <w:lang w:val="en-US"/>
              </w:rPr>
              <w:t>țărilor</w:t>
            </w:r>
            <w:proofErr w:type="spellEnd"/>
            <w:r w:rsidRPr="0087494E">
              <w:rPr>
                <w:rFonts w:cs="Arial"/>
                <w:sz w:val="16"/>
                <w:szCs w:val="16"/>
                <w:lang w:val="en-US"/>
              </w:rPr>
              <w:t xml:space="preserve"> </w:t>
            </w:r>
            <w:proofErr w:type="spellStart"/>
            <w:r w:rsidRPr="0087494E">
              <w:rPr>
                <w:rFonts w:cs="Arial"/>
                <w:sz w:val="16"/>
                <w:szCs w:val="16"/>
                <w:lang w:val="en-US"/>
              </w:rPr>
              <w:t>în</w:t>
            </w:r>
            <w:proofErr w:type="spellEnd"/>
            <w:r w:rsidRPr="0087494E">
              <w:rPr>
                <w:rFonts w:cs="Arial"/>
                <w:sz w:val="16"/>
                <w:szCs w:val="16"/>
                <w:lang w:val="en-US"/>
              </w:rPr>
              <w:t xml:space="preserve"> care s-</w:t>
            </w:r>
            <w:proofErr w:type="gramStart"/>
            <w:r w:rsidRPr="0087494E">
              <w:rPr>
                <w:rFonts w:cs="Arial"/>
                <w:sz w:val="16"/>
                <w:szCs w:val="16"/>
                <w:lang w:val="en-US"/>
              </w:rPr>
              <w:t>a</w:t>
            </w:r>
            <w:proofErr w:type="gramEnd"/>
            <w:r w:rsidRPr="0087494E">
              <w:rPr>
                <w:rFonts w:cs="Arial"/>
                <w:sz w:val="16"/>
                <w:szCs w:val="16"/>
                <w:lang w:val="en-US"/>
              </w:rPr>
              <w:t xml:space="preserve"> </w:t>
            </w:r>
            <w:proofErr w:type="spellStart"/>
            <w:r w:rsidRPr="0087494E">
              <w:rPr>
                <w:rFonts w:cs="Arial"/>
                <w:sz w:val="16"/>
                <w:szCs w:val="16"/>
                <w:lang w:val="en-US"/>
              </w:rPr>
              <w:t>investit</w:t>
            </w:r>
            <w:proofErr w:type="spellEnd"/>
          </w:p>
        </w:tc>
        <w:tc>
          <w:tcPr>
            <w:tcW w:w="1141" w:type="pct"/>
          </w:tcPr>
          <w:p w14:paraId="48D10530" w14:textId="5989BB7C"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332CA74B" w14:textId="3DF6B2A7" w:rsidTr="00BE410D">
        <w:tc>
          <w:tcPr>
            <w:tcW w:w="1222" w:type="pct"/>
            <w:vMerge/>
          </w:tcPr>
          <w:p w14:paraId="4C7FD1AC" w14:textId="77777777" w:rsidR="00BE410D" w:rsidRPr="00174138" w:rsidRDefault="00BE410D" w:rsidP="002C674C">
            <w:pPr>
              <w:suppressAutoHyphens w:val="0"/>
              <w:rPr>
                <w:rFonts w:cs="Arial"/>
                <w:sz w:val="16"/>
                <w:szCs w:val="16"/>
                <w:lang w:val="en-GB"/>
              </w:rPr>
            </w:pPr>
          </w:p>
        </w:tc>
        <w:tc>
          <w:tcPr>
            <w:tcW w:w="423" w:type="pct"/>
          </w:tcPr>
          <w:p w14:paraId="5E9B9F74"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w:t>
            </w:r>
          </w:p>
        </w:tc>
        <w:tc>
          <w:tcPr>
            <w:tcW w:w="510" w:type="pct"/>
          </w:tcPr>
          <w:p w14:paraId="13411B88" w14:textId="77777777" w:rsidR="00BE410D" w:rsidRPr="00174138" w:rsidRDefault="00BE410D" w:rsidP="002C674C">
            <w:pPr>
              <w:suppressAutoHyphens w:val="0"/>
              <w:jc w:val="center"/>
              <w:rPr>
                <w:rFonts w:cs="Arial"/>
                <w:sz w:val="16"/>
                <w:szCs w:val="16"/>
                <w:lang w:val="en-GB"/>
              </w:rPr>
            </w:pPr>
            <w:r w:rsidRPr="00174138">
              <w:rPr>
                <w:rFonts w:cs="Arial"/>
                <w:sz w:val="16"/>
                <w:szCs w:val="16"/>
              </w:rPr>
              <w:t>16</w:t>
            </w:r>
          </w:p>
        </w:tc>
        <w:tc>
          <w:tcPr>
            <w:tcW w:w="1704" w:type="pct"/>
          </w:tcPr>
          <w:p w14:paraId="43C9E395" w14:textId="77777777" w:rsidR="00BE410D" w:rsidRPr="00174138" w:rsidRDefault="00BE410D" w:rsidP="002C674C">
            <w:pPr>
              <w:suppressAutoHyphens w:val="0"/>
              <w:rPr>
                <w:rFonts w:cs="Arial"/>
                <w:sz w:val="16"/>
                <w:szCs w:val="16"/>
                <w:lang w:val="en-GB"/>
              </w:rPr>
            </w:pPr>
            <w:proofErr w:type="spellStart"/>
            <w:r w:rsidRPr="0087494E">
              <w:rPr>
                <w:rFonts w:cs="Arial"/>
                <w:sz w:val="16"/>
                <w:szCs w:val="16"/>
                <w:lang w:val="en-GB"/>
              </w:rPr>
              <w:t>Numărul</w:t>
            </w:r>
            <w:proofErr w:type="spellEnd"/>
            <w:r w:rsidRPr="0087494E">
              <w:rPr>
                <w:rFonts w:cs="Arial"/>
                <w:sz w:val="16"/>
                <w:szCs w:val="16"/>
                <w:lang w:val="en-GB"/>
              </w:rPr>
              <w:t xml:space="preserve"> de </w:t>
            </w:r>
            <w:proofErr w:type="spellStart"/>
            <w:r w:rsidRPr="0087494E">
              <w:rPr>
                <w:rFonts w:cs="Arial"/>
                <w:sz w:val="16"/>
                <w:szCs w:val="16"/>
                <w:lang w:val="en-GB"/>
              </w:rPr>
              <w:t>țări</w:t>
            </w:r>
            <w:proofErr w:type="spellEnd"/>
            <w:r w:rsidRPr="0087494E">
              <w:rPr>
                <w:rFonts w:cs="Arial"/>
                <w:sz w:val="16"/>
                <w:szCs w:val="16"/>
                <w:lang w:val="en-GB"/>
              </w:rPr>
              <w:t xml:space="preserve"> </w:t>
            </w:r>
            <w:proofErr w:type="spellStart"/>
            <w:r w:rsidRPr="0087494E">
              <w:rPr>
                <w:rFonts w:cs="Arial"/>
                <w:sz w:val="16"/>
                <w:szCs w:val="16"/>
                <w:lang w:val="en-GB"/>
              </w:rPr>
              <w:t>în</w:t>
            </w:r>
            <w:proofErr w:type="spellEnd"/>
            <w:r w:rsidRPr="0087494E">
              <w:rPr>
                <w:rFonts w:cs="Arial"/>
                <w:sz w:val="16"/>
                <w:szCs w:val="16"/>
                <w:lang w:val="en-GB"/>
              </w:rPr>
              <w:t xml:space="preserve"> care s-</w:t>
            </w:r>
            <w:proofErr w:type="gramStart"/>
            <w:r w:rsidRPr="0087494E">
              <w:rPr>
                <w:rFonts w:cs="Arial"/>
                <w:sz w:val="16"/>
                <w:szCs w:val="16"/>
                <w:lang w:val="en-GB"/>
              </w:rPr>
              <w:t>a</w:t>
            </w:r>
            <w:proofErr w:type="gramEnd"/>
            <w:r w:rsidRPr="0087494E">
              <w:rPr>
                <w:rFonts w:cs="Arial"/>
                <w:sz w:val="16"/>
                <w:szCs w:val="16"/>
                <w:lang w:val="en-GB"/>
              </w:rPr>
              <w:t xml:space="preserve"> </w:t>
            </w:r>
            <w:proofErr w:type="spellStart"/>
            <w:r w:rsidRPr="0087494E">
              <w:rPr>
                <w:rFonts w:cs="Arial"/>
                <w:sz w:val="16"/>
                <w:szCs w:val="16"/>
                <w:lang w:val="en-GB"/>
              </w:rPr>
              <w:t>investit</w:t>
            </w:r>
            <w:proofErr w:type="spellEnd"/>
            <w:r w:rsidRPr="0087494E">
              <w:rPr>
                <w:rFonts w:cs="Arial"/>
                <w:sz w:val="16"/>
                <w:szCs w:val="16"/>
                <w:lang w:val="en-GB"/>
              </w:rPr>
              <w:t xml:space="preserve"> care </w:t>
            </w:r>
            <w:proofErr w:type="spellStart"/>
            <w:r w:rsidRPr="0087494E">
              <w:rPr>
                <w:rFonts w:cs="Arial"/>
                <w:sz w:val="16"/>
                <w:szCs w:val="16"/>
                <w:lang w:val="en-GB"/>
              </w:rPr>
              <w:t>fac</w:t>
            </w:r>
            <w:proofErr w:type="spellEnd"/>
            <w:r w:rsidRPr="0087494E">
              <w:rPr>
                <w:rFonts w:cs="Arial"/>
                <w:sz w:val="16"/>
                <w:szCs w:val="16"/>
                <w:lang w:val="en-GB"/>
              </w:rPr>
              <w:t xml:space="preserve"> </w:t>
            </w:r>
            <w:proofErr w:type="spellStart"/>
            <w:r w:rsidRPr="0087494E">
              <w:rPr>
                <w:rFonts w:cs="Arial"/>
                <w:sz w:val="16"/>
                <w:szCs w:val="16"/>
                <w:lang w:val="en-GB"/>
              </w:rPr>
              <w:t>obiectul</w:t>
            </w:r>
            <w:proofErr w:type="spellEnd"/>
            <w:r w:rsidRPr="0087494E">
              <w:rPr>
                <w:rFonts w:cs="Arial"/>
                <w:sz w:val="16"/>
                <w:szCs w:val="16"/>
                <w:lang w:val="en-GB"/>
              </w:rPr>
              <w:t xml:space="preserve"> </w:t>
            </w:r>
            <w:proofErr w:type="spellStart"/>
            <w:r w:rsidRPr="0087494E">
              <w:rPr>
                <w:rFonts w:cs="Arial"/>
                <w:sz w:val="16"/>
                <w:szCs w:val="16"/>
                <w:lang w:val="en-GB"/>
              </w:rPr>
              <w:t>unor</w:t>
            </w:r>
            <w:proofErr w:type="spellEnd"/>
            <w:r w:rsidRPr="0087494E">
              <w:rPr>
                <w:rFonts w:cs="Arial"/>
                <w:sz w:val="16"/>
                <w:szCs w:val="16"/>
                <w:lang w:val="en-GB"/>
              </w:rPr>
              <w:t xml:space="preserve"> </w:t>
            </w:r>
            <w:proofErr w:type="spellStart"/>
            <w:r w:rsidRPr="0087494E">
              <w:rPr>
                <w:rFonts w:cs="Arial"/>
                <w:sz w:val="16"/>
                <w:szCs w:val="16"/>
                <w:lang w:val="en-GB"/>
              </w:rPr>
              <w:t>încălcări</w:t>
            </w:r>
            <w:proofErr w:type="spellEnd"/>
            <w:r w:rsidRPr="0087494E">
              <w:rPr>
                <w:rFonts w:cs="Arial"/>
                <w:sz w:val="16"/>
                <w:szCs w:val="16"/>
                <w:lang w:val="en-GB"/>
              </w:rPr>
              <w:t xml:space="preserve"> </w:t>
            </w:r>
            <w:proofErr w:type="spellStart"/>
            <w:r w:rsidRPr="0087494E">
              <w:rPr>
                <w:rFonts w:cs="Arial"/>
                <w:sz w:val="16"/>
                <w:szCs w:val="16"/>
                <w:lang w:val="en-GB"/>
              </w:rPr>
              <w:t>sociale</w:t>
            </w:r>
            <w:proofErr w:type="spellEnd"/>
            <w:r w:rsidRPr="0087494E">
              <w:rPr>
                <w:rFonts w:cs="Arial"/>
                <w:sz w:val="16"/>
                <w:szCs w:val="16"/>
                <w:lang w:val="en-GB"/>
              </w:rPr>
              <w:t xml:space="preserve"> (</w:t>
            </w:r>
            <w:proofErr w:type="spellStart"/>
            <w:r w:rsidRPr="0087494E">
              <w:rPr>
                <w:rFonts w:cs="Arial"/>
                <w:sz w:val="16"/>
                <w:szCs w:val="16"/>
                <w:lang w:val="en-GB"/>
              </w:rPr>
              <w:t>numărul</w:t>
            </w:r>
            <w:proofErr w:type="spellEnd"/>
            <w:r w:rsidRPr="0087494E">
              <w:rPr>
                <w:rFonts w:cs="Arial"/>
                <w:sz w:val="16"/>
                <w:szCs w:val="16"/>
                <w:lang w:val="en-GB"/>
              </w:rPr>
              <w:t xml:space="preserve"> </w:t>
            </w:r>
            <w:proofErr w:type="spellStart"/>
            <w:r w:rsidRPr="0087494E">
              <w:rPr>
                <w:rFonts w:cs="Arial"/>
                <w:sz w:val="16"/>
                <w:szCs w:val="16"/>
                <w:lang w:val="en-GB"/>
              </w:rPr>
              <w:t>absolut</w:t>
            </w:r>
            <w:proofErr w:type="spellEnd"/>
            <w:r w:rsidRPr="0087494E">
              <w:rPr>
                <w:rFonts w:cs="Arial"/>
                <w:sz w:val="16"/>
                <w:szCs w:val="16"/>
                <w:lang w:val="en-GB"/>
              </w:rPr>
              <w:t xml:space="preserve"> </w:t>
            </w:r>
            <w:proofErr w:type="spellStart"/>
            <w:r w:rsidRPr="0087494E">
              <w:rPr>
                <w:rFonts w:cs="Arial"/>
                <w:sz w:val="16"/>
                <w:szCs w:val="16"/>
                <w:lang w:val="en-GB"/>
              </w:rPr>
              <w:t>și</w:t>
            </w:r>
            <w:proofErr w:type="spellEnd"/>
            <w:r w:rsidRPr="0087494E">
              <w:rPr>
                <w:rFonts w:cs="Arial"/>
                <w:sz w:val="16"/>
                <w:szCs w:val="16"/>
                <w:lang w:val="en-GB"/>
              </w:rPr>
              <w:t xml:space="preserve"> </w:t>
            </w:r>
            <w:proofErr w:type="spellStart"/>
            <w:r w:rsidRPr="0087494E">
              <w:rPr>
                <w:rFonts w:cs="Arial"/>
                <w:sz w:val="16"/>
                <w:szCs w:val="16"/>
                <w:lang w:val="en-GB"/>
              </w:rPr>
              <w:t>numărul</w:t>
            </w:r>
            <w:proofErr w:type="spellEnd"/>
            <w:r w:rsidRPr="0087494E">
              <w:rPr>
                <w:rFonts w:cs="Arial"/>
                <w:sz w:val="16"/>
                <w:szCs w:val="16"/>
                <w:lang w:val="en-GB"/>
              </w:rPr>
              <w:t xml:space="preserve"> </w:t>
            </w:r>
            <w:proofErr w:type="spellStart"/>
            <w:r w:rsidRPr="0087494E">
              <w:rPr>
                <w:rFonts w:cs="Arial"/>
                <w:sz w:val="16"/>
                <w:szCs w:val="16"/>
                <w:lang w:val="en-GB"/>
              </w:rPr>
              <w:t>relativ</w:t>
            </w:r>
            <w:proofErr w:type="spellEnd"/>
            <w:r w:rsidRPr="0087494E">
              <w:rPr>
                <w:rFonts w:cs="Arial"/>
                <w:sz w:val="16"/>
                <w:szCs w:val="16"/>
                <w:lang w:val="en-GB"/>
              </w:rPr>
              <w:t xml:space="preserve"> </w:t>
            </w:r>
            <w:proofErr w:type="spellStart"/>
            <w:r w:rsidRPr="0087494E">
              <w:rPr>
                <w:rFonts w:cs="Arial"/>
                <w:sz w:val="16"/>
                <w:szCs w:val="16"/>
                <w:lang w:val="en-GB"/>
              </w:rPr>
              <w:t>împărțit</w:t>
            </w:r>
            <w:proofErr w:type="spellEnd"/>
            <w:r w:rsidRPr="0087494E">
              <w:rPr>
                <w:rFonts w:cs="Arial"/>
                <w:sz w:val="16"/>
                <w:szCs w:val="16"/>
                <w:lang w:val="en-GB"/>
              </w:rPr>
              <w:t xml:space="preserve"> la </w:t>
            </w:r>
            <w:proofErr w:type="spellStart"/>
            <w:r w:rsidRPr="0087494E">
              <w:rPr>
                <w:rFonts w:cs="Arial"/>
                <w:sz w:val="16"/>
                <w:szCs w:val="16"/>
                <w:lang w:val="en-GB"/>
              </w:rPr>
              <w:t>toate</w:t>
            </w:r>
            <w:proofErr w:type="spellEnd"/>
            <w:r w:rsidRPr="0087494E">
              <w:rPr>
                <w:rFonts w:cs="Arial"/>
                <w:sz w:val="16"/>
                <w:szCs w:val="16"/>
                <w:lang w:val="en-GB"/>
              </w:rPr>
              <w:t xml:space="preserve"> </w:t>
            </w:r>
            <w:proofErr w:type="spellStart"/>
            <w:r w:rsidRPr="0087494E">
              <w:rPr>
                <w:rFonts w:cs="Arial"/>
                <w:sz w:val="16"/>
                <w:szCs w:val="16"/>
                <w:lang w:val="en-GB"/>
              </w:rPr>
              <w:t>țările</w:t>
            </w:r>
            <w:proofErr w:type="spellEnd"/>
            <w:r w:rsidRPr="0087494E">
              <w:rPr>
                <w:rFonts w:cs="Arial"/>
                <w:sz w:val="16"/>
                <w:szCs w:val="16"/>
                <w:lang w:val="en-GB"/>
              </w:rPr>
              <w:t xml:space="preserve"> </w:t>
            </w:r>
            <w:proofErr w:type="spellStart"/>
            <w:r w:rsidRPr="0087494E">
              <w:rPr>
                <w:rFonts w:cs="Arial"/>
                <w:sz w:val="16"/>
                <w:szCs w:val="16"/>
                <w:lang w:val="en-GB"/>
              </w:rPr>
              <w:t>în</w:t>
            </w:r>
            <w:proofErr w:type="spellEnd"/>
            <w:r w:rsidRPr="0087494E">
              <w:rPr>
                <w:rFonts w:cs="Arial"/>
                <w:sz w:val="16"/>
                <w:szCs w:val="16"/>
                <w:lang w:val="en-GB"/>
              </w:rPr>
              <w:t xml:space="preserve"> care s-</w:t>
            </w:r>
            <w:proofErr w:type="gramStart"/>
            <w:r w:rsidRPr="0087494E">
              <w:rPr>
                <w:rFonts w:cs="Arial"/>
                <w:sz w:val="16"/>
                <w:szCs w:val="16"/>
                <w:lang w:val="en-GB"/>
              </w:rPr>
              <w:t>a</w:t>
            </w:r>
            <w:proofErr w:type="gramEnd"/>
            <w:r w:rsidRPr="0087494E">
              <w:rPr>
                <w:rFonts w:cs="Arial"/>
                <w:sz w:val="16"/>
                <w:szCs w:val="16"/>
                <w:lang w:val="en-GB"/>
              </w:rPr>
              <w:t xml:space="preserve"> </w:t>
            </w:r>
            <w:proofErr w:type="spellStart"/>
            <w:r w:rsidRPr="0087494E">
              <w:rPr>
                <w:rFonts w:cs="Arial"/>
                <w:sz w:val="16"/>
                <w:szCs w:val="16"/>
                <w:lang w:val="en-GB"/>
              </w:rPr>
              <w:t>investit</w:t>
            </w:r>
            <w:proofErr w:type="spellEnd"/>
            <w:r w:rsidRPr="0087494E">
              <w:rPr>
                <w:rFonts w:cs="Arial"/>
                <w:sz w:val="16"/>
                <w:szCs w:val="16"/>
                <w:lang w:val="en-GB"/>
              </w:rPr>
              <w:t xml:space="preserve">), </w:t>
            </w:r>
            <w:proofErr w:type="spellStart"/>
            <w:r w:rsidRPr="0087494E">
              <w:rPr>
                <w:rFonts w:cs="Arial"/>
                <w:sz w:val="16"/>
                <w:szCs w:val="16"/>
                <w:lang w:val="en-GB"/>
              </w:rPr>
              <w:t>astfel</w:t>
            </w:r>
            <w:proofErr w:type="spellEnd"/>
            <w:r w:rsidRPr="0087494E">
              <w:rPr>
                <w:rFonts w:cs="Arial"/>
                <w:sz w:val="16"/>
                <w:szCs w:val="16"/>
                <w:lang w:val="en-GB"/>
              </w:rPr>
              <w:t xml:space="preserve"> cum se </w:t>
            </w:r>
            <w:proofErr w:type="spellStart"/>
            <w:r w:rsidRPr="0087494E">
              <w:rPr>
                <w:rFonts w:cs="Arial"/>
                <w:sz w:val="16"/>
                <w:szCs w:val="16"/>
                <w:lang w:val="en-GB"/>
              </w:rPr>
              <w:t>menționează</w:t>
            </w:r>
            <w:proofErr w:type="spellEnd"/>
            <w:r w:rsidRPr="0087494E">
              <w:rPr>
                <w:rFonts w:cs="Arial"/>
                <w:sz w:val="16"/>
                <w:szCs w:val="16"/>
                <w:lang w:val="en-GB"/>
              </w:rPr>
              <w:t xml:space="preserve"> </w:t>
            </w:r>
            <w:proofErr w:type="spellStart"/>
            <w:r w:rsidRPr="0087494E">
              <w:rPr>
                <w:rFonts w:cs="Arial"/>
                <w:sz w:val="16"/>
                <w:szCs w:val="16"/>
                <w:lang w:val="en-GB"/>
              </w:rPr>
              <w:t>în</w:t>
            </w:r>
            <w:proofErr w:type="spellEnd"/>
            <w:r w:rsidRPr="0087494E">
              <w:rPr>
                <w:rFonts w:cs="Arial"/>
                <w:sz w:val="16"/>
                <w:szCs w:val="16"/>
                <w:lang w:val="en-GB"/>
              </w:rPr>
              <w:t xml:space="preserve"> </w:t>
            </w:r>
            <w:proofErr w:type="spellStart"/>
            <w:r w:rsidRPr="0087494E">
              <w:rPr>
                <w:rFonts w:cs="Arial"/>
                <w:sz w:val="16"/>
                <w:szCs w:val="16"/>
                <w:lang w:val="en-GB"/>
              </w:rPr>
              <w:t>tratatele</w:t>
            </w:r>
            <w:proofErr w:type="spellEnd"/>
            <w:r w:rsidRPr="0087494E">
              <w:rPr>
                <w:rFonts w:cs="Arial"/>
                <w:sz w:val="16"/>
                <w:szCs w:val="16"/>
                <w:lang w:val="en-GB"/>
              </w:rPr>
              <w:t xml:space="preserve"> </w:t>
            </w:r>
            <w:proofErr w:type="spellStart"/>
            <w:r w:rsidRPr="0087494E">
              <w:rPr>
                <w:rFonts w:cs="Arial"/>
                <w:sz w:val="16"/>
                <w:szCs w:val="16"/>
                <w:lang w:val="en-GB"/>
              </w:rPr>
              <w:t>și</w:t>
            </w:r>
            <w:proofErr w:type="spellEnd"/>
            <w:r w:rsidRPr="0087494E">
              <w:rPr>
                <w:rFonts w:cs="Arial"/>
                <w:sz w:val="16"/>
                <w:szCs w:val="16"/>
                <w:lang w:val="en-GB"/>
              </w:rPr>
              <w:t xml:space="preserve"> </w:t>
            </w:r>
            <w:proofErr w:type="spellStart"/>
            <w:r w:rsidRPr="0087494E">
              <w:rPr>
                <w:rFonts w:cs="Arial"/>
                <w:sz w:val="16"/>
                <w:szCs w:val="16"/>
                <w:lang w:val="en-GB"/>
              </w:rPr>
              <w:t>convențiile</w:t>
            </w:r>
            <w:proofErr w:type="spellEnd"/>
            <w:r w:rsidRPr="0087494E">
              <w:rPr>
                <w:rFonts w:cs="Arial"/>
                <w:sz w:val="16"/>
                <w:szCs w:val="16"/>
                <w:lang w:val="en-GB"/>
              </w:rPr>
              <w:t xml:space="preserve"> </w:t>
            </w:r>
            <w:proofErr w:type="spellStart"/>
            <w:r w:rsidRPr="0087494E">
              <w:rPr>
                <w:rFonts w:cs="Arial"/>
                <w:sz w:val="16"/>
                <w:szCs w:val="16"/>
                <w:lang w:val="en-GB"/>
              </w:rPr>
              <w:t>internaționale</w:t>
            </w:r>
            <w:proofErr w:type="spellEnd"/>
            <w:r w:rsidRPr="0087494E">
              <w:rPr>
                <w:rFonts w:cs="Arial"/>
                <w:sz w:val="16"/>
                <w:szCs w:val="16"/>
                <w:lang w:val="en-GB"/>
              </w:rPr>
              <w:t xml:space="preserve">, </w:t>
            </w:r>
            <w:proofErr w:type="spellStart"/>
            <w:r w:rsidRPr="0087494E">
              <w:rPr>
                <w:rFonts w:cs="Arial"/>
                <w:sz w:val="16"/>
                <w:szCs w:val="16"/>
                <w:lang w:val="en-GB"/>
              </w:rPr>
              <w:t>în</w:t>
            </w:r>
            <w:proofErr w:type="spellEnd"/>
            <w:r w:rsidRPr="0087494E">
              <w:rPr>
                <w:rFonts w:cs="Arial"/>
                <w:sz w:val="16"/>
                <w:szCs w:val="16"/>
                <w:lang w:val="en-GB"/>
              </w:rPr>
              <w:t xml:space="preserve"> </w:t>
            </w:r>
            <w:proofErr w:type="spellStart"/>
            <w:r w:rsidRPr="0087494E">
              <w:rPr>
                <w:rFonts w:cs="Arial"/>
                <w:sz w:val="16"/>
                <w:szCs w:val="16"/>
                <w:lang w:val="en-GB"/>
              </w:rPr>
              <w:t>principiile</w:t>
            </w:r>
            <w:proofErr w:type="spellEnd"/>
            <w:r w:rsidRPr="0087494E">
              <w:rPr>
                <w:rFonts w:cs="Arial"/>
                <w:sz w:val="16"/>
                <w:szCs w:val="16"/>
                <w:lang w:val="en-GB"/>
              </w:rPr>
              <w:t xml:space="preserve"> </w:t>
            </w:r>
            <w:proofErr w:type="spellStart"/>
            <w:r w:rsidRPr="0087494E">
              <w:rPr>
                <w:rFonts w:cs="Arial"/>
                <w:sz w:val="16"/>
                <w:szCs w:val="16"/>
                <w:lang w:val="en-GB"/>
              </w:rPr>
              <w:t>Organizației</w:t>
            </w:r>
            <w:proofErr w:type="spellEnd"/>
            <w:r w:rsidRPr="0087494E">
              <w:rPr>
                <w:rFonts w:cs="Arial"/>
                <w:sz w:val="16"/>
                <w:szCs w:val="16"/>
                <w:lang w:val="en-GB"/>
              </w:rPr>
              <w:t xml:space="preserve"> </w:t>
            </w:r>
            <w:proofErr w:type="spellStart"/>
            <w:r w:rsidRPr="0087494E">
              <w:rPr>
                <w:rFonts w:cs="Arial"/>
                <w:sz w:val="16"/>
                <w:szCs w:val="16"/>
                <w:lang w:val="en-GB"/>
              </w:rPr>
              <w:t>Națiunilor</w:t>
            </w:r>
            <w:proofErr w:type="spellEnd"/>
            <w:r w:rsidRPr="0087494E">
              <w:rPr>
                <w:rFonts w:cs="Arial"/>
                <w:sz w:val="16"/>
                <w:szCs w:val="16"/>
                <w:lang w:val="en-GB"/>
              </w:rPr>
              <w:t xml:space="preserve"> Unite </w:t>
            </w:r>
            <w:proofErr w:type="spellStart"/>
            <w:r w:rsidRPr="0087494E">
              <w:rPr>
                <w:rFonts w:cs="Arial"/>
                <w:sz w:val="16"/>
                <w:szCs w:val="16"/>
                <w:lang w:val="en-GB"/>
              </w:rPr>
              <w:t>și</w:t>
            </w:r>
            <w:proofErr w:type="spellEnd"/>
            <w:r w:rsidRPr="0087494E">
              <w:rPr>
                <w:rFonts w:cs="Arial"/>
                <w:sz w:val="16"/>
                <w:szCs w:val="16"/>
                <w:lang w:val="en-GB"/>
              </w:rPr>
              <w:t xml:space="preserve">, </w:t>
            </w:r>
            <w:proofErr w:type="spellStart"/>
            <w:r w:rsidRPr="0087494E">
              <w:rPr>
                <w:rFonts w:cs="Arial"/>
                <w:sz w:val="16"/>
                <w:szCs w:val="16"/>
                <w:lang w:val="en-GB"/>
              </w:rPr>
              <w:t>după</w:t>
            </w:r>
            <w:proofErr w:type="spellEnd"/>
            <w:r w:rsidRPr="0087494E">
              <w:rPr>
                <w:rFonts w:cs="Arial"/>
                <w:sz w:val="16"/>
                <w:szCs w:val="16"/>
                <w:lang w:val="en-GB"/>
              </w:rPr>
              <w:t xml:space="preserve"> </w:t>
            </w:r>
            <w:proofErr w:type="spellStart"/>
            <w:r w:rsidRPr="0087494E">
              <w:rPr>
                <w:rFonts w:cs="Arial"/>
                <w:sz w:val="16"/>
                <w:szCs w:val="16"/>
                <w:lang w:val="en-GB"/>
              </w:rPr>
              <w:t>caz</w:t>
            </w:r>
            <w:proofErr w:type="spellEnd"/>
            <w:r w:rsidRPr="0087494E">
              <w:rPr>
                <w:rFonts w:cs="Arial"/>
                <w:sz w:val="16"/>
                <w:szCs w:val="16"/>
                <w:lang w:val="en-GB"/>
              </w:rPr>
              <w:t xml:space="preserve">, </w:t>
            </w:r>
            <w:proofErr w:type="spellStart"/>
            <w:r w:rsidRPr="0087494E">
              <w:rPr>
                <w:rFonts w:cs="Arial"/>
                <w:sz w:val="16"/>
                <w:szCs w:val="16"/>
                <w:lang w:val="en-GB"/>
              </w:rPr>
              <w:t>în</w:t>
            </w:r>
            <w:proofErr w:type="spellEnd"/>
            <w:r w:rsidRPr="0087494E">
              <w:rPr>
                <w:rFonts w:cs="Arial"/>
                <w:sz w:val="16"/>
                <w:szCs w:val="16"/>
                <w:lang w:val="en-GB"/>
              </w:rPr>
              <w:t xml:space="preserve"> </w:t>
            </w:r>
            <w:proofErr w:type="spellStart"/>
            <w:r w:rsidRPr="0087494E">
              <w:rPr>
                <w:rFonts w:cs="Arial"/>
                <w:sz w:val="16"/>
                <w:szCs w:val="16"/>
                <w:lang w:val="en-GB"/>
              </w:rPr>
              <w:t>legislația</w:t>
            </w:r>
            <w:proofErr w:type="spellEnd"/>
            <w:r w:rsidRPr="0087494E">
              <w:rPr>
                <w:rFonts w:cs="Arial"/>
                <w:sz w:val="16"/>
                <w:szCs w:val="16"/>
                <w:lang w:val="en-GB"/>
              </w:rPr>
              <w:t xml:space="preserve"> </w:t>
            </w:r>
            <w:proofErr w:type="spellStart"/>
            <w:r w:rsidRPr="0087494E">
              <w:rPr>
                <w:rFonts w:cs="Arial"/>
                <w:sz w:val="16"/>
                <w:szCs w:val="16"/>
                <w:lang w:val="en-GB"/>
              </w:rPr>
              <w:t>națională</w:t>
            </w:r>
            <w:proofErr w:type="spellEnd"/>
          </w:p>
        </w:tc>
        <w:tc>
          <w:tcPr>
            <w:tcW w:w="1141" w:type="pct"/>
          </w:tcPr>
          <w:p w14:paraId="09741BC6" w14:textId="32C89C89" w:rsidR="00BE410D" w:rsidRPr="00174138" w:rsidRDefault="00BE410D" w:rsidP="002C674C">
            <w:pPr>
              <w:suppressAutoHyphens w:val="0"/>
              <w:rPr>
                <w:rFonts w:cs="Arial"/>
                <w:sz w:val="16"/>
                <w:szCs w:val="16"/>
                <w:lang w:val="en-GB"/>
              </w:rPr>
            </w:pPr>
            <w:r w:rsidRPr="00174138">
              <w:rPr>
                <w:rFonts w:cs="Arial"/>
                <w:sz w:val="16"/>
                <w:szCs w:val="16"/>
              </w:rPr>
              <w:t>Furnizor extern de date; Analiza internă Generali</w:t>
            </w:r>
          </w:p>
        </w:tc>
      </w:tr>
      <w:tr w:rsidR="00BE410D" w:rsidRPr="00174138" w14:paraId="63C8E8B2" w14:textId="6E5A036B" w:rsidTr="00BE410D">
        <w:tc>
          <w:tcPr>
            <w:tcW w:w="1222" w:type="pct"/>
            <w:vMerge/>
          </w:tcPr>
          <w:p w14:paraId="531AABC1" w14:textId="77777777" w:rsidR="00BE410D" w:rsidRPr="00174138" w:rsidRDefault="00BE410D" w:rsidP="002C674C">
            <w:pPr>
              <w:suppressAutoHyphens w:val="0"/>
              <w:rPr>
                <w:rFonts w:cs="Arial"/>
                <w:sz w:val="16"/>
                <w:szCs w:val="16"/>
                <w:lang w:val="en-GB"/>
              </w:rPr>
            </w:pPr>
          </w:p>
        </w:tc>
        <w:tc>
          <w:tcPr>
            <w:tcW w:w="423" w:type="pct"/>
          </w:tcPr>
          <w:p w14:paraId="413BFE34" w14:textId="77777777" w:rsidR="00BE410D" w:rsidRPr="00174138" w:rsidRDefault="00BE410D" w:rsidP="002C674C">
            <w:pPr>
              <w:suppressAutoHyphens w:val="0"/>
              <w:jc w:val="center"/>
              <w:rPr>
                <w:rFonts w:cs="Arial"/>
                <w:sz w:val="16"/>
                <w:szCs w:val="16"/>
                <w:lang w:val="en-GB"/>
              </w:rPr>
            </w:pPr>
            <w:r w:rsidRPr="00174138">
              <w:rPr>
                <w:rFonts w:cs="Arial"/>
                <w:sz w:val="16"/>
                <w:szCs w:val="16"/>
              </w:rPr>
              <w:t>3</w:t>
            </w:r>
          </w:p>
        </w:tc>
        <w:tc>
          <w:tcPr>
            <w:tcW w:w="510" w:type="pct"/>
          </w:tcPr>
          <w:p w14:paraId="3593EABB" w14:textId="77777777" w:rsidR="00BE410D" w:rsidRPr="00174138" w:rsidRDefault="00BE410D" w:rsidP="002C674C">
            <w:pPr>
              <w:suppressAutoHyphens w:val="0"/>
              <w:jc w:val="center"/>
              <w:rPr>
                <w:rFonts w:cs="Arial"/>
                <w:sz w:val="16"/>
                <w:szCs w:val="16"/>
                <w:lang w:val="en-GB"/>
              </w:rPr>
            </w:pPr>
            <w:r w:rsidRPr="00174138">
              <w:rPr>
                <w:rFonts w:cs="Arial"/>
                <w:sz w:val="16"/>
                <w:szCs w:val="16"/>
              </w:rPr>
              <w:t>22</w:t>
            </w:r>
          </w:p>
        </w:tc>
        <w:tc>
          <w:tcPr>
            <w:tcW w:w="1704" w:type="pct"/>
          </w:tcPr>
          <w:p w14:paraId="06A0D99C" w14:textId="77777777" w:rsidR="00BE410D" w:rsidRPr="00174138" w:rsidRDefault="00BE410D" w:rsidP="002C674C">
            <w:pPr>
              <w:suppressAutoHyphens w:val="0"/>
              <w:rPr>
                <w:rFonts w:cs="Arial"/>
                <w:sz w:val="16"/>
                <w:szCs w:val="16"/>
                <w:lang w:val="en-GB"/>
              </w:rPr>
            </w:pPr>
            <w:r w:rsidRPr="00174138">
              <w:rPr>
                <w:rFonts w:cs="Arial"/>
                <w:sz w:val="16"/>
                <w:szCs w:val="16"/>
              </w:rPr>
              <w:t>Jurisdicții fiscale necooperante</w:t>
            </w:r>
          </w:p>
        </w:tc>
        <w:tc>
          <w:tcPr>
            <w:tcW w:w="1141" w:type="pct"/>
          </w:tcPr>
          <w:p w14:paraId="0A73FF36" w14:textId="329B211B" w:rsidR="00BE410D" w:rsidRPr="00174138" w:rsidRDefault="00BE410D" w:rsidP="002C674C">
            <w:pPr>
              <w:suppressAutoHyphens w:val="0"/>
              <w:rPr>
                <w:rFonts w:cs="Arial"/>
                <w:sz w:val="16"/>
                <w:szCs w:val="16"/>
                <w:lang w:val="en-GB"/>
              </w:rPr>
            </w:pPr>
            <w:r w:rsidRPr="00174138">
              <w:rPr>
                <w:rFonts w:cs="Arial"/>
                <w:sz w:val="16"/>
                <w:szCs w:val="16"/>
              </w:rPr>
              <w:t>Furnizor extern de date</w:t>
            </w:r>
          </w:p>
        </w:tc>
      </w:tr>
      <w:tr w:rsidR="00BE410D" w:rsidRPr="00174138" w14:paraId="7F061594" w14:textId="4A979A95" w:rsidTr="00BE410D">
        <w:tc>
          <w:tcPr>
            <w:tcW w:w="1222" w:type="pct"/>
            <w:vMerge w:val="restart"/>
          </w:tcPr>
          <w:p w14:paraId="0148E700" w14:textId="513B649F" w:rsidR="00BE410D" w:rsidRPr="00174138" w:rsidRDefault="00BE410D" w:rsidP="002C674C">
            <w:pPr>
              <w:suppressAutoHyphens w:val="0"/>
              <w:rPr>
                <w:rFonts w:cs="Arial"/>
                <w:color w:val="auto"/>
                <w:sz w:val="16"/>
                <w:szCs w:val="16"/>
                <w:lang w:val="en-GB"/>
              </w:rPr>
            </w:pPr>
            <w:r w:rsidRPr="00174138">
              <w:rPr>
                <w:rFonts w:cs="Arial"/>
                <w:color w:val="auto"/>
                <w:sz w:val="16"/>
                <w:szCs w:val="16"/>
              </w:rPr>
              <w:t>Active imobiliare</w:t>
            </w:r>
          </w:p>
        </w:tc>
        <w:tc>
          <w:tcPr>
            <w:tcW w:w="423" w:type="pct"/>
          </w:tcPr>
          <w:p w14:paraId="64D29495" w14:textId="4A8270C6" w:rsidR="00BE410D" w:rsidRPr="00174138" w:rsidRDefault="00BE410D" w:rsidP="002C674C">
            <w:pPr>
              <w:suppressAutoHyphens w:val="0"/>
              <w:jc w:val="center"/>
              <w:rPr>
                <w:rFonts w:cs="Arial"/>
                <w:color w:val="auto"/>
                <w:sz w:val="16"/>
                <w:szCs w:val="16"/>
                <w:lang w:val="en-GB"/>
              </w:rPr>
            </w:pPr>
            <w:r w:rsidRPr="00174138">
              <w:rPr>
                <w:rFonts w:cs="Arial"/>
                <w:color w:val="auto"/>
                <w:sz w:val="16"/>
                <w:szCs w:val="16"/>
              </w:rPr>
              <w:t>1</w:t>
            </w:r>
          </w:p>
        </w:tc>
        <w:tc>
          <w:tcPr>
            <w:tcW w:w="510" w:type="pct"/>
          </w:tcPr>
          <w:p w14:paraId="7D9B1110" w14:textId="7A37D20F" w:rsidR="00BE410D" w:rsidRPr="00174138" w:rsidRDefault="00BE410D" w:rsidP="002C674C">
            <w:pPr>
              <w:suppressAutoHyphens w:val="0"/>
              <w:jc w:val="center"/>
              <w:rPr>
                <w:rFonts w:cs="Arial"/>
                <w:color w:val="auto"/>
                <w:sz w:val="16"/>
                <w:szCs w:val="16"/>
                <w:lang w:val="en-GB"/>
              </w:rPr>
            </w:pPr>
            <w:r w:rsidRPr="00174138">
              <w:rPr>
                <w:rFonts w:cs="Arial"/>
                <w:color w:val="auto"/>
                <w:sz w:val="16"/>
                <w:szCs w:val="16"/>
              </w:rPr>
              <w:t>17</w:t>
            </w:r>
          </w:p>
        </w:tc>
        <w:tc>
          <w:tcPr>
            <w:tcW w:w="1704" w:type="pct"/>
          </w:tcPr>
          <w:p w14:paraId="40EA7E8F" w14:textId="3637CA6F" w:rsidR="00BE410D" w:rsidRPr="0087494E" w:rsidRDefault="00BE410D" w:rsidP="002C674C">
            <w:pPr>
              <w:suppressAutoHyphens w:val="0"/>
              <w:rPr>
                <w:rFonts w:cs="Arial"/>
                <w:color w:val="auto"/>
                <w:sz w:val="16"/>
                <w:szCs w:val="16"/>
              </w:rPr>
            </w:pPr>
            <w:r w:rsidRPr="00174138">
              <w:rPr>
                <w:rFonts w:cs="Arial"/>
                <w:color w:val="auto"/>
                <w:sz w:val="16"/>
                <w:szCs w:val="16"/>
              </w:rPr>
              <w:t>Expunerea la combustibili fosili prin active imobiliare</w:t>
            </w:r>
          </w:p>
        </w:tc>
        <w:tc>
          <w:tcPr>
            <w:tcW w:w="1141" w:type="pct"/>
          </w:tcPr>
          <w:p w14:paraId="2FFBF17B" w14:textId="5D420DA9" w:rsidR="00BE410D" w:rsidRPr="00174138" w:rsidRDefault="00BE410D" w:rsidP="002C674C">
            <w:pPr>
              <w:suppressAutoHyphens w:val="0"/>
              <w:rPr>
                <w:rFonts w:cs="Arial"/>
                <w:color w:val="auto"/>
                <w:sz w:val="16"/>
                <w:szCs w:val="16"/>
                <w:lang w:val="en-GB"/>
              </w:rPr>
            </w:pPr>
            <w:r w:rsidRPr="00174138">
              <w:rPr>
                <w:rFonts w:cs="Arial"/>
                <w:sz w:val="16"/>
                <w:szCs w:val="16"/>
              </w:rPr>
              <w:t>Generali Imobiliare</w:t>
            </w:r>
          </w:p>
        </w:tc>
      </w:tr>
      <w:tr w:rsidR="00BE410D" w:rsidRPr="00174138" w14:paraId="5E94A7DB" w14:textId="782FE37F" w:rsidTr="00BE410D">
        <w:tc>
          <w:tcPr>
            <w:tcW w:w="1222" w:type="pct"/>
            <w:vMerge/>
          </w:tcPr>
          <w:p w14:paraId="0186DFB1" w14:textId="77777777" w:rsidR="00BE410D" w:rsidRPr="00174138" w:rsidRDefault="00BE410D" w:rsidP="002C674C">
            <w:pPr>
              <w:suppressAutoHyphens w:val="0"/>
              <w:rPr>
                <w:rFonts w:cs="Arial"/>
                <w:color w:val="auto"/>
                <w:sz w:val="16"/>
                <w:szCs w:val="16"/>
                <w:lang w:val="en-GB"/>
              </w:rPr>
            </w:pPr>
          </w:p>
        </w:tc>
        <w:tc>
          <w:tcPr>
            <w:tcW w:w="423" w:type="pct"/>
          </w:tcPr>
          <w:p w14:paraId="2E403FC6" w14:textId="43EDFDA5" w:rsidR="00BE410D" w:rsidRPr="00174138" w:rsidRDefault="00BE410D" w:rsidP="002C674C">
            <w:pPr>
              <w:suppressAutoHyphens w:val="0"/>
              <w:jc w:val="center"/>
              <w:rPr>
                <w:rFonts w:cs="Arial"/>
                <w:color w:val="auto"/>
                <w:sz w:val="16"/>
                <w:szCs w:val="16"/>
                <w:lang w:val="en-GB"/>
              </w:rPr>
            </w:pPr>
            <w:r w:rsidRPr="00174138">
              <w:rPr>
                <w:rFonts w:cs="Arial"/>
                <w:color w:val="auto"/>
                <w:sz w:val="16"/>
                <w:szCs w:val="16"/>
              </w:rPr>
              <w:t>1</w:t>
            </w:r>
          </w:p>
        </w:tc>
        <w:tc>
          <w:tcPr>
            <w:tcW w:w="510" w:type="pct"/>
          </w:tcPr>
          <w:p w14:paraId="71DB6ACA" w14:textId="647598B2" w:rsidR="00BE410D" w:rsidRPr="00174138" w:rsidRDefault="00BE410D" w:rsidP="002C674C">
            <w:pPr>
              <w:suppressAutoHyphens w:val="0"/>
              <w:jc w:val="center"/>
              <w:rPr>
                <w:rFonts w:cs="Arial"/>
                <w:color w:val="auto"/>
                <w:sz w:val="16"/>
                <w:szCs w:val="16"/>
                <w:lang w:val="en-GB"/>
              </w:rPr>
            </w:pPr>
            <w:r w:rsidRPr="00174138">
              <w:rPr>
                <w:rFonts w:cs="Arial"/>
                <w:color w:val="auto"/>
                <w:sz w:val="16"/>
                <w:szCs w:val="16"/>
              </w:rPr>
              <w:t>18</w:t>
            </w:r>
          </w:p>
        </w:tc>
        <w:tc>
          <w:tcPr>
            <w:tcW w:w="1704" w:type="pct"/>
          </w:tcPr>
          <w:p w14:paraId="099CC740" w14:textId="5F37CDA5" w:rsidR="00BE410D" w:rsidRPr="0087494E" w:rsidRDefault="00BE410D" w:rsidP="002C674C">
            <w:pPr>
              <w:suppressAutoHyphens w:val="0"/>
              <w:rPr>
                <w:rFonts w:cs="Arial"/>
                <w:color w:val="auto"/>
                <w:sz w:val="16"/>
                <w:szCs w:val="16"/>
              </w:rPr>
            </w:pPr>
            <w:r w:rsidRPr="00174138">
              <w:rPr>
                <w:rFonts w:cs="Arial"/>
                <w:color w:val="auto"/>
                <w:sz w:val="16"/>
                <w:szCs w:val="16"/>
              </w:rPr>
              <w:t>Expunerea la active imobiliare ineficiente din punct de vedere energetic</w:t>
            </w:r>
          </w:p>
        </w:tc>
        <w:tc>
          <w:tcPr>
            <w:tcW w:w="1141" w:type="pct"/>
          </w:tcPr>
          <w:p w14:paraId="4319B346" w14:textId="084BB5C6" w:rsidR="00BE410D" w:rsidRPr="00174138" w:rsidRDefault="00BE410D" w:rsidP="002C674C">
            <w:pPr>
              <w:suppressAutoHyphens w:val="0"/>
              <w:rPr>
                <w:rFonts w:cs="Arial"/>
                <w:color w:val="auto"/>
                <w:sz w:val="16"/>
                <w:szCs w:val="16"/>
                <w:lang w:val="en-GB"/>
              </w:rPr>
            </w:pPr>
            <w:r w:rsidRPr="00174138">
              <w:rPr>
                <w:rFonts w:cs="Arial"/>
                <w:sz w:val="16"/>
                <w:szCs w:val="16"/>
              </w:rPr>
              <w:t>Generali Imobiliare</w:t>
            </w:r>
          </w:p>
        </w:tc>
      </w:tr>
    </w:tbl>
    <w:p w14:paraId="0D23E483" w14:textId="77777777" w:rsidR="005D76F6" w:rsidRPr="00174138" w:rsidRDefault="005D76F6" w:rsidP="005D76F6">
      <w:pPr>
        <w:widowControl/>
        <w:suppressAutoHyphens w:val="0"/>
        <w:autoSpaceDN/>
        <w:spacing w:before="0" w:after="0" w:line="240" w:lineRule="auto"/>
        <w:contextualSpacing w:val="0"/>
        <w:jc w:val="both"/>
        <w:rPr>
          <w:color w:val="0070C0"/>
          <w:lang w:val="en-GB"/>
        </w:rPr>
      </w:pPr>
    </w:p>
    <w:p w14:paraId="43A153C5" w14:textId="77777777" w:rsidR="00442E9A" w:rsidRPr="00174138" w:rsidRDefault="00442E9A" w:rsidP="0017291A">
      <w:pPr>
        <w:rPr>
          <w:lang w:val="en-GB"/>
        </w:rPr>
      </w:pPr>
    </w:p>
    <w:p w14:paraId="793B9A35" w14:textId="25B09CE9" w:rsidR="00E42EE9" w:rsidRPr="00174138" w:rsidRDefault="00E42EE9" w:rsidP="00E42EE9">
      <w:pPr>
        <w:spacing w:before="0" w:after="120" w:line="276" w:lineRule="auto"/>
        <w:contextualSpacing w:val="0"/>
        <w:jc w:val="both"/>
        <w:rPr>
          <w:rFonts w:cs="Arial"/>
          <w:szCs w:val="18"/>
          <w:lang w:val="en-GB"/>
        </w:rPr>
      </w:pPr>
      <w:r w:rsidRPr="0087494E">
        <w:rPr>
          <w:rFonts w:cs="Arial"/>
          <w:color w:val="auto"/>
          <w:szCs w:val="18"/>
          <w:lang w:val="en-GB"/>
        </w:rPr>
        <w:t xml:space="preserve">Am </w:t>
      </w:r>
      <w:proofErr w:type="spellStart"/>
      <w:r w:rsidRPr="0087494E">
        <w:rPr>
          <w:rFonts w:cs="Arial"/>
          <w:color w:val="auto"/>
          <w:szCs w:val="18"/>
          <w:lang w:val="en-GB"/>
        </w:rPr>
        <w:t>creat</w:t>
      </w:r>
      <w:proofErr w:type="spellEnd"/>
      <w:r w:rsidRPr="0087494E">
        <w:rPr>
          <w:rFonts w:cs="Arial"/>
          <w:color w:val="auto"/>
          <w:szCs w:val="18"/>
          <w:lang w:val="en-GB"/>
        </w:rPr>
        <w:t xml:space="preserve"> o </w:t>
      </w:r>
      <w:proofErr w:type="spellStart"/>
      <w:r w:rsidRPr="0087494E">
        <w:rPr>
          <w:rFonts w:cs="Arial"/>
          <w:color w:val="auto"/>
          <w:szCs w:val="18"/>
          <w:lang w:val="en-GB"/>
        </w:rPr>
        <w:t>soluție</w:t>
      </w:r>
      <w:proofErr w:type="spellEnd"/>
      <w:r w:rsidRPr="0087494E">
        <w:rPr>
          <w:rFonts w:cs="Arial"/>
          <w:color w:val="auto"/>
          <w:szCs w:val="18"/>
          <w:lang w:val="en-GB"/>
        </w:rPr>
        <w:t xml:space="preserve"> de </w:t>
      </w:r>
      <w:proofErr w:type="spellStart"/>
      <w:r w:rsidRPr="0087494E">
        <w:rPr>
          <w:rFonts w:cs="Arial"/>
          <w:color w:val="auto"/>
          <w:szCs w:val="18"/>
          <w:lang w:val="en-GB"/>
        </w:rPr>
        <w:t>raportare</w:t>
      </w:r>
      <w:proofErr w:type="spellEnd"/>
      <w:r w:rsidRPr="0087494E">
        <w:rPr>
          <w:rFonts w:cs="Arial"/>
          <w:color w:val="auto"/>
          <w:szCs w:val="18"/>
          <w:lang w:val="en-GB"/>
        </w:rPr>
        <w:t xml:space="preserve"> PAI care </w:t>
      </w:r>
      <w:proofErr w:type="spellStart"/>
      <w:r w:rsidRPr="0087494E">
        <w:rPr>
          <w:rFonts w:cs="Arial"/>
          <w:color w:val="auto"/>
          <w:szCs w:val="18"/>
          <w:lang w:val="en-GB"/>
        </w:rPr>
        <w:t>îndeplinește</w:t>
      </w:r>
      <w:proofErr w:type="spellEnd"/>
      <w:r w:rsidRPr="0087494E">
        <w:rPr>
          <w:rFonts w:cs="Arial"/>
          <w:color w:val="auto"/>
          <w:szCs w:val="18"/>
          <w:lang w:val="en-GB"/>
        </w:rPr>
        <w:t xml:space="preserve"> </w:t>
      </w:r>
      <w:proofErr w:type="spellStart"/>
      <w:r w:rsidRPr="0087494E">
        <w:rPr>
          <w:rFonts w:cs="Arial"/>
          <w:color w:val="auto"/>
          <w:szCs w:val="18"/>
          <w:lang w:val="en-GB"/>
        </w:rPr>
        <w:t>cerințele</w:t>
      </w:r>
      <w:proofErr w:type="spellEnd"/>
      <w:r w:rsidRPr="0087494E">
        <w:rPr>
          <w:rFonts w:cs="Arial"/>
          <w:color w:val="auto"/>
          <w:szCs w:val="18"/>
          <w:lang w:val="en-GB"/>
        </w:rPr>
        <w:t xml:space="preserve"> </w:t>
      </w:r>
      <w:proofErr w:type="spellStart"/>
      <w:r w:rsidRPr="0087494E">
        <w:rPr>
          <w:rFonts w:cs="Arial"/>
          <w:color w:val="auto"/>
          <w:szCs w:val="18"/>
          <w:lang w:val="en-GB"/>
        </w:rPr>
        <w:t>exprimate</w:t>
      </w:r>
      <w:proofErr w:type="spellEnd"/>
      <w:r w:rsidRPr="0087494E">
        <w:rPr>
          <w:rFonts w:cs="Arial"/>
          <w:color w:val="auto"/>
          <w:szCs w:val="18"/>
          <w:lang w:val="en-GB"/>
        </w:rPr>
        <w:t xml:space="preserve"> </w:t>
      </w:r>
      <w:proofErr w:type="spellStart"/>
      <w:r w:rsidRPr="0087494E">
        <w:rPr>
          <w:rFonts w:cs="Arial"/>
          <w:color w:val="auto"/>
          <w:szCs w:val="18"/>
          <w:lang w:val="en-GB"/>
        </w:rPr>
        <w:t>în</w:t>
      </w:r>
      <w:proofErr w:type="spellEnd"/>
      <w:r w:rsidRPr="0087494E">
        <w:rPr>
          <w:rFonts w:cs="Arial"/>
          <w:color w:val="auto"/>
          <w:szCs w:val="18"/>
          <w:lang w:val="en-GB"/>
        </w:rPr>
        <w:t xml:space="preserve"> </w:t>
      </w:r>
      <w:proofErr w:type="spellStart"/>
      <w:r w:rsidRPr="0087494E">
        <w:rPr>
          <w:rFonts w:cs="Arial"/>
          <w:color w:val="auto"/>
          <w:szCs w:val="18"/>
          <w:lang w:val="en-GB"/>
        </w:rPr>
        <w:t>prezent</w:t>
      </w:r>
      <w:proofErr w:type="spellEnd"/>
      <w:r w:rsidRPr="0087494E">
        <w:rPr>
          <w:rFonts w:cs="Arial"/>
          <w:color w:val="auto"/>
          <w:szCs w:val="18"/>
          <w:lang w:val="en-GB"/>
        </w:rPr>
        <w:t xml:space="preserve"> de </w:t>
      </w:r>
      <w:proofErr w:type="spellStart"/>
      <w:r w:rsidRPr="0087494E">
        <w:rPr>
          <w:rFonts w:cs="Arial"/>
          <w:color w:val="auto"/>
          <w:szCs w:val="18"/>
          <w:lang w:val="en-GB"/>
        </w:rPr>
        <w:t>regulament</w:t>
      </w:r>
      <w:proofErr w:type="spellEnd"/>
      <w:r w:rsidRPr="0087494E">
        <w:rPr>
          <w:rFonts w:cs="Arial"/>
          <w:color w:val="auto"/>
          <w:szCs w:val="18"/>
          <w:lang w:val="en-GB"/>
        </w:rPr>
        <w:t xml:space="preserve">, </w:t>
      </w:r>
      <w:proofErr w:type="spellStart"/>
      <w:r w:rsidRPr="0087494E">
        <w:rPr>
          <w:rFonts w:cs="Arial"/>
          <w:color w:val="auto"/>
          <w:szCs w:val="18"/>
          <w:lang w:val="en-GB"/>
        </w:rPr>
        <w:t>ținând</w:t>
      </w:r>
      <w:proofErr w:type="spellEnd"/>
      <w:r w:rsidRPr="0087494E">
        <w:rPr>
          <w:rFonts w:cs="Arial"/>
          <w:color w:val="auto"/>
          <w:szCs w:val="18"/>
          <w:lang w:val="en-GB"/>
        </w:rPr>
        <w:t xml:space="preserve"> </w:t>
      </w:r>
      <w:proofErr w:type="spellStart"/>
      <w:r w:rsidRPr="0087494E">
        <w:rPr>
          <w:rFonts w:cs="Arial"/>
          <w:color w:val="auto"/>
          <w:szCs w:val="18"/>
          <w:lang w:val="en-GB"/>
        </w:rPr>
        <w:t>cont</w:t>
      </w:r>
      <w:proofErr w:type="spellEnd"/>
      <w:r w:rsidRPr="0087494E">
        <w:rPr>
          <w:rFonts w:cs="Arial"/>
          <w:color w:val="auto"/>
          <w:szCs w:val="18"/>
          <w:lang w:val="en-GB"/>
        </w:rPr>
        <w:t xml:space="preserve"> de </w:t>
      </w:r>
      <w:proofErr w:type="spellStart"/>
      <w:r w:rsidRPr="0087494E">
        <w:rPr>
          <w:rFonts w:cs="Arial"/>
          <w:color w:val="auto"/>
          <w:szCs w:val="18"/>
          <w:lang w:val="en-GB"/>
        </w:rPr>
        <w:t>limitările</w:t>
      </w:r>
      <w:proofErr w:type="spellEnd"/>
      <w:r w:rsidRPr="0087494E">
        <w:rPr>
          <w:rFonts w:cs="Arial"/>
          <w:color w:val="auto"/>
          <w:szCs w:val="18"/>
          <w:lang w:val="en-GB"/>
        </w:rPr>
        <w:t xml:space="preserve"> </w:t>
      </w:r>
      <w:proofErr w:type="spellStart"/>
      <w:r w:rsidRPr="0087494E">
        <w:rPr>
          <w:rFonts w:cs="Arial"/>
          <w:color w:val="auto"/>
          <w:szCs w:val="18"/>
          <w:lang w:val="en-GB"/>
        </w:rPr>
        <w:t>întâmpinate</w:t>
      </w:r>
      <w:proofErr w:type="spellEnd"/>
      <w:r w:rsidRPr="0087494E">
        <w:rPr>
          <w:rFonts w:cs="Arial"/>
          <w:color w:val="auto"/>
          <w:szCs w:val="18"/>
          <w:lang w:val="en-GB"/>
        </w:rPr>
        <w:t xml:space="preserve">, cum </w:t>
      </w:r>
      <w:proofErr w:type="spellStart"/>
      <w:r w:rsidRPr="0087494E">
        <w:rPr>
          <w:rFonts w:cs="Arial"/>
          <w:color w:val="auto"/>
          <w:szCs w:val="18"/>
          <w:lang w:val="en-GB"/>
        </w:rPr>
        <w:t>ar</w:t>
      </w:r>
      <w:proofErr w:type="spellEnd"/>
      <w:r w:rsidRPr="0087494E">
        <w:rPr>
          <w:rFonts w:cs="Arial"/>
          <w:color w:val="auto"/>
          <w:szCs w:val="18"/>
          <w:lang w:val="en-GB"/>
        </w:rPr>
        <w:t xml:space="preserve"> fi </w:t>
      </w:r>
      <w:proofErr w:type="spellStart"/>
      <w:r w:rsidRPr="0087494E">
        <w:rPr>
          <w:rFonts w:cs="Arial"/>
          <w:color w:val="auto"/>
          <w:szCs w:val="18"/>
          <w:lang w:val="en-GB"/>
        </w:rPr>
        <w:t>disponibilitatea</w:t>
      </w:r>
      <w:proofErr w:type="spellEnd"/>
      <w:r w:rsidR="003571AE" w:rsidRPr="0087494E">
        <w:rPr>
          <w:rFonts w:cs="Arial"/>
          <w:color w:val="auto"/>
          <w:szCs w:val="18"/>
          <w:lang w:val="en-GB"/>
        </w:rPr>
        <w:t xml:space="preserve"> </w:t>
      </w:r>
      <w:proofErr w:type="spellStart"/>
      <w:r w:rsidR="003571AE" w:rsidRPr="0087494E">
        <w:rPr>
          <w:rFonts w:cs="Arial"/>
          <w:color w:val="auto"/>
          <w:szCs w:val="18"/>
          <w:lang w:val="en-GB"/>
        </w:rPr>
        <w:t>și</w:t>
      </w:r>
      <w:proofErr w:type="spellEnd"/>
      <w:r w:rsidR="003571AE" w:rsidRPr="0087494E">
        <w:rPr>
          <w:rFonts w:cs="Arial"/>
          <w:color w:val="auto"/>
          <w:szCs w:val="18"/>
          <w:lang w:val="en-GB"/>
        </w:rPr>
        <w:t xml:space="preserve"> </w:t>
      </w:r>
      <w:proofErr w:type="spellStart"/>
      <w:r w:rsidR="003571AE" w:rsidRPr="0087494E">
        <w:rPr>
          <w:rFonts w:cs="Arial"/>
          <w:color w:val="auto"/>
          <w:szCs w:val="18"/>
          <w:lang w:val="en-GB"/>
        </w:rPr>
        <w:t>calitatea</w:t>
      </w:r>
      <w:proofErr w:type="spellEnd"/>
      <w:r w:rsidR="003571AE" w:rsidRPr="0087494E">
        <w:rPr>
          <w:rFonts w:cs="Arial"/>
          <w:color w:val="auto"/>
          <w:szCs w:val="18"/>
          <w:lang w:val="en-GB"/>
        </w:rPr>
        <w:t xml:space="preserve"> </w:t>
      </w:r>
      <w:proofErr w:type="spellStart"/>
      <w:proofErr w:type="gramStart"/>
      <w:r w:rsidR="003571AE" w:rsidRPr="0087494E">
        <w:rPr>
          <w:rFonts w:cs="Arial"/>
          <w:color w:val="auto"/>
          <w:szCs w:val="18"/>
          <w:lang w:val="en-GB"/>
        </w:rPr>
        <w:t>datelor</w:t>
      </w:r>
      <w:proofErr w:type="spellEnd"/>
      <w:r w:rsidR="003571AE" w:rsidRPr="0087494E">
        <w:rPr>
          <w:rFonts w:cs="Arial"/>
          <w:color w:val="auto"/>
          <w:szCs w:val="18"/>
          <w:lang w:val="en-GB"/>
        </w:rPr>
        <w:t xml:space="preserve"> </w:t>
      </w:r>
      <w:r w:rsidRPr="0087494E">
        <w:rPr>
          <w:rFonts w:cs="Arial"/>
          <w:color w:val="auto"/>
          <w:szCs w:val="18"/>
          <w:lang w:val="en-GB"/>
        </w:rPr>
        <w:t xml:space="preserve"> </w:t>
      </w:r>
      <w:proofErr w:type="spellStart"/>
      <w:r w:rsidRPr="0087494E">
        <w:rPr>
          <w:rFonts w:cs="Arial"/>
          <w:color w:val="auto"/>
          <w:szCs w:val="18"/>
          <w:lang w:val="en-GB"/>
        </w:rPr>
        <w:t>și</w:t>
      </w:r>
      <w:proofErr w:type="spellEnd"/>
      <w:proofErr w:type="gramEnd"/>
      <w:r w:rsidRPr="0087494E">
        <w:rPr>
          <w:rFonts w:cs="Arial"/>
          <w:color w:val="auto"/>
          <w:szCs w:val="18"/>
          <w:lang w:val="en-GB"/>
        </w:rPr>
        <w:t xml:space="preserve"> </w:t>
      </w:r>
      <w:proofErr w:type="spellStart"/>
      <w:r w:rsidRPr="0087494E">
        <w:rPr>
          <w:rFonts w:cs="Arial"/>
          <w:color w:val="auto"/>
          <w:szCs w:val="18"/>
          <w:lang w:val="en-GB"/>
        </w:rPr>
        <w:t>subiectele</w:t>
      </w:r>
      <w:proofErr w:type="spellEnd"/>
      <w:r w:rsidRPr="0087494E">
        <w:rPr>
          <w:rFonts w:cs="Arial"/>
          <w:color w:val="auto"/>
          <w:szCs w:val="18"/>
          <w:lang w:val="en-GB"/>
        </w:rPr>
        <w:t xml:space="preserve"> de </w:t>
      </w:r>
      <w:proofErr w:type="spellStart"/>
      <w:r w:rsidRPr="0087494E">
        <w:rPr>
          <w:rFonts w:cs="Arial"/>
          <w:color w:val="auto"/>
          <w:szCs w:val="18"/>
          <w:lang w:val="en-GB"/>
        </w:rPr>
        <w:t>interpretare</w:t>
      </w:r>
      <w:proofErr w:type="spellEnd"/>
      <w:r w:rsidRPr="0087494E">
        <w:rPr>
          <w:rFonts w:cs="Arial"/>
          <w:color w:val="auto"/>
          <w:szCs w:val="18"/>
          <w:lang w:val="en-GB"/>
        </w:rPr>
        <w:t xml:space="preserve"> a </w:t>
      </w:r>
      <w:proofErr w:type="spellStart"/>
      <w:r w:rsidRPr="0087494E">
        <w:rPr>
          <w:rFonts w:cs="Arial"/>
          <w:color w:val="auto"/>
          <w:szCs w:val="18"/>
          <w:lang w:val="en-GB"/>
        </w:rPr>
        <w:t>reglementărilor</w:t>
      </w:r>
      <w:proofErr w:type="spellEnd"/>
      <w:r w:rsidRPr="0087494E">
        <w:rPr>
          <w:rFonts w:cs="Arial"/>
          <w:color w:val="auto"/>
          <w:szCs w:val="18"/>
          <w:lang w:val="en-GB"/>
        </w:rPr>
        <w:t xml:space="preserve">, precum </w:t>
      </w:r>
      <w:proofErr w:type="spellStart"/>
      <w:r w:rsidRPr="0087494E">
        <w:rPr>
          <w:rFonts w:cs="Arial"/>
          <w:color w:val="auto"/>
          <w:szCs w:val="18"/>
          <w:lang w:val="en-GB"/>
        </w:rPr>
        <w:t>și</w:t>
      </w:r>
      <w:proofErr w:type="spellEnd"/>
      <w:r w:rsidRPr="0087494E">
        <w:rPr>
          <w:rFonts w:cs="Arial"/>
          <w:color w:val="auto"/>
          <w:szCs w:val="18"/>
          <w:lang w:val="en-GB"/>
        </w:rPr>
        <w:t xml:space="preserve"> </w:t>
      </w:r>
      <w:proofErr w:type="spellStart"/>
      <w:r w:rsidRPr="0087494E">
        <w:rPr>
          <w:rFonts w:cs="Arial"/>
          <w:color w:val="auto"/>
          <w:szCs w:val="18"/>
          <w:lang w:val="en-GB"/>
        </w:rPr>
        <w:t>dependența</w:t>
      </w:r>
      <w:proofErr w:type="spellEnd"/>
      <w:r w:rsidRPr="0087494E">
        <w:rPr>
          <w:rFonts w:cs="Arial"/>
          <w:color w:val="auto"/>
          <w:szCs w:val="18"/>
          <w:lang w:val="en-GB"/>
        </w:rPr>
        <w:t xml:space="preserve"> de </w:t>
      </w:r>
      <w:proofErr w:type="spellStart"/>
      <w:r w:rsidRPr="0087494E">
        <w:rPr>
          <w:rFonts w:cs="Arial"/>
          <w:color w:val="auto"/>
          <w:szCs w:val="18"/>
          <w:lang w:val="en-GB"/>
        </w:rPr>
        <w:t>furnizori</w:t>
      </w:r>
      <w:proofErr w:type="spellEnd"/>
      <w:r w:rsidRPr="0087494E">
        <w:rPr>
          <w:rFonts w:cs="Arial"/>
          <w:color w:val="auto"/>
          <w:szCs w:val="18"/>
          <w:lang w:val="en-GB"/>
        </w:rPr>
        <w:t xml:space="preserve"> </w:t>
      </w:r>
      <w:proofErr w:type="spellStart"/>
      <w:r w:rsidRPr="0087494E">
        <w:rPr>
          <w:rFonts w:cs="Arial"/>
          <w:color w:val="auto"/>
          <w:szCs w:val="18"/>
          <w:lang w:val="en-GB"/>
        </w:rPr>
        <w:t>externi</w:t>
      </w:r>
      <w:proofErr w:type="spellEnd"/>
      <w:r w:rsidRPr="0087494E">
        <w:rPr>
          <w:rFonts w:cs="Arial"/>
          <w:color w:val="auto"/>
          <w:szCs w:val="18"/>
          <w:lang w:val="en-GB"/>
        </w:rPr>
        <w:t xml:space="preserve"> </w:t>
      </w:r>
      <w:proofErr w:type="spellStart"/>
      <w:r w:rsidRPr="0087494E">
        <w:rPr>
          <w:rFonts w:cs="Arial"/>
          <w:color w:val="auto"/>
          <w:szCs w:val="18"/>
          <w:lang w:val="en-GB"/>
        </w:rPr>
        <w:t>atât</w:t>
      </w:r>
      <w:proofErr w:type="spellEnd"/>
      <w:r w:rsidRPr="0087494E">
        <w:rPr>
          <w:rFonts w:cs="Arial"/>
          <w:color w:val="auto"/>
          <w:szCs w:val="18"/>
          <w:lang w:val="en-GB"/>
        </w:rPr>
        <w:t xml:space="preserve"> </w:t>
      </w:r>
      <w:proofErr w:type="spellStart"/>
      <w:r w:rsidRPr="0087494E">
        <w:rPr>
          <w:rFonts w:cs="Arial"/>
          <w:color w:val="auto"/>
          <w:szCs w:val="18"/>
          <w:lang w:val="en-GB"/>
        </w:rPr>
        <w:t>în</w:t>
      </w:r>
      <w:proofErr w:type="spellEnd"/>
      <w:r w:rsidRPr="0087494E">
        <w:rPr>
          <w:rFonts w:cs="Arial"/>
          <w:color w:val="auto"/>
          <w:szCs w:val="18"/>
          <w:lang w:val="en-GB"/>
        </w:rPr>
        <w:t xml:space="preserve"> </w:t>
      </w:r>
      <w:proofErr w:type="spellStart"/>
      <w:r w:rsidRPr="0087494E">
        <w:rPr>
          <w:rFonts w:cs="Arial"/>
          <w:color w:val="auto"/>
          <w:szCs w:val="18"/>
          <w:lang w:val="en-GB"/>
        </w:rPr>
        <w:t>ceea</w:t>
      </w:r>
      <w:proofErr w:type="spellEnd"/>
      <w:r w:rsidRPr="0087494E">
        <w:rPr>
          <w:rFonts w:cs="Arial"/>
          <w:color w:val="auto"/>
          <w:szCs w:val="18"/>
          <w:lang w:val="en-GB"/>
        </w:rPr>
        <w:t xml:space="preserve"> </w:t>
      </w:r>
      <w:proofErr w:type="spellStart"/>
      <w:r w:rsidRPr="0087494E">
        <w:rPr>
          <w:rFonts w:cs="Arial"/>
          <w:color w:val="auto"/>
          <w:szCs w:val="18"/>
          <w:lang w:val="en-GB"/>
        </w:rPr>
        <w:t>ce</w:t>
      </w:r>
      <w:proofErr w:type="spellEnd"/>
      <w:r w:rsidRPr="0087494E">
        <w:rPr>
          <w:rFonts w:cs="Arial"/>
          <w:color w:val="auto"/>
          <w:szCs w:val="18"/>
          <w:lang w:val="en-GB"/>
        </w:rPr>
        <w:t xml:space="preserve"> </w:t>
      </w:r>
      <w:proofErr w:type="spellStart"/>
      <w:r w:rsidRPr="0087494E">
        <w:rPr>
          <w:rFonts w:cs="Arial"/>
          <w:color w:val="auto"/>
          <w:szCs w:val="18"/>
          <w:lang w:val="en-GB"/>
        </w:rPr>
        <w:t>privește</w:t>
      </w:r>
      <w:proofErr w:type="spellEnd"/>
      <w:r w:rsidRPr="0087494E">
        <w:rPr>
          <w:rFonts w:cs="Arial"/>
          <w:color w:val="auto"/>
          <w:szCs w:val="18"/>
          <w:lang w:val="en-GB"/>
        </w:rPr>
        <w:t xml:space="preserve"> </w:t>
      </w:r>
      <w:proofErr w:type="spellStart"/>
      <w:r w:rsidRPr="0087494E">
        <w:rPr>
          <w:rFonts w:cs="Arial"/>
          <w:color w:val="auto"/>
          <w:szCs w:val="18"/>
          <w:lang w:val="en-GB"/>
        </w:rPr>
        <w:t>datele</w:t>
      </w:r>
      <w:proofErr w:type="spellEnd"/>
      <w:r w:rsidRPr="0087494E">
        <w:rPr>
          <w:rFonts w:cs="Arial"/>
          <w:color w:val="auto"/>
          <w:szCs w:val="18"/>
          <w:lang w:val="en-GB"/>
        </w:rPr>
        <w:t xml:space="preserve"> </w:t>
      </w:r>
      <w:proofErr w:type="spellStart"/>
      <w:r w:rsidRPr="0087494E">
        <w:rPr>
          <w:rFonts w:cs="Arial"/>
          <w:color w:val="auto"/>
          <w:szCs w:val="18"/>
          <w:lang w:val="en-GB"/>
        </w:rPr>
        <w:t>cât</w:t>
      </w:r>
      <w:proofErr w:type="spellEnd"/>
      <w:r w:rsidRPr="0087494E">
        <w:rPr>
          <w:rFonts w:cs="Arial"/>
          <w:color w:val="auto"/>
          <w:szCs w:val="18"/>
          <w:lang w:val="en-GB"/>
        </w:rPr>
        <w:t xml:space="preserve"> </w:t>
      </w:r>
      <w:proofErr w:type="spellStart"/>
      <w:r w:rsidRPr="0087494E">
        <w:rPr>
          <w:rFonts w:cs="Arial"/>
          <w:color w:val="auto"/>
          <w:szCs w:val="18"/>
          <w:lang w:val="en-GB"/>
        </w:rPr>
        <w:t>și</w:t>
      </w:r>
      <w:proofErr w:type="spellEnd"/>
      <w:r w:rsidRPr="0087494E">
        <w:rPr>
          <w:rFonts w:cs="Arial"/>
          <w:color w:val="auto"/>
          <w:szCs w:val="18"/>
          <w:lang w:val="en-GB"/>
        </w:rPr>
        <w:t xml:space="preserve"> </w:t>
      </w:r>
      <w:proofErr w:type="spellStart"/>
      <w:r w:rsidRPr="0087494E">
        <w:rPr>
          <w:rFonts w:cs="Arial"/>
          <w:color w:val="auto"/>
          <w:szCs w:val="18"/>
          <w:lang w:val="en-GB"/>
        </w:rPr>
        <w:t>soluțiile</w:t>
      </w:r>
      <w:proofErr w:type="spellEnd"/>
      <w:r w:rsidRPr="0087494E">
        <w:rPr>
          <w:rFonts w:cs="Arial"/>
          <w:color w:val="auto"/>
          <w:szCs w:val="18"/>
          <w:lang w:val="en-GB"/>
        </w:rPr>
        <w:t xml:space="preserve"> de </w:t>
      </w:r>
      <w:proofErr w:type="spellStart"/>
      <w:r w:rsidRPr="0087494E">
        <w:rPr>
          <w:rFonts w:cs="Arial"/>
          <w:color w:val="auto"/>
          <w:szCs w:val="18"/>
          <w:lang w:val="en-GB"/>
        </w:rPr>
        <w:t>raportare</w:t>
      </w:r>
      <w:proofErr w:type="spellEnd"/>
      <w:r w:rsidRPr="0087494E">
        <w:rPr>
          <w:rFonts w:cs="Arial"/>
          <w:color w:val="auto"/>
          <w:szCs w:val="18"/>
          <w:lang w:val="en-GB"/>
        </w:rPr>
        <w:t xml:space="preserve">. </w:t>
      </w:r>
    </w:p>
    <w:p w14:paraId="36A103E4" w14:textId="41B8AAE1" w:rsidR="00464D71" w:rsidRPr="0087494E" w:rsidRDefault="00882EFF" w:rsidP="00281597">
      <w:pPr>
        <w:suppressAutoHyphens w:val="0"/>
        <w:autoSpaceDN/>
        <w:spacing w:before="0" w:after="120" w:line="276" w:lineRule="auto"/>
        <w:contextualSpacing w:val="0"/>
        <w:jc w:val="both"/>
        <w:rPr>
          <w:rFonts w:cs="Arial"/>
          <w:color w:val="auto"/>
          <w:szCs w:val="18"/>
        </w:rPr>
      </w:pPr>
      <w:r w:rsidRPr="00174138">
        <w:rPr>
          <w:rFonts w:cs="Arial"/>
          <w:color w:val="auto"/>
          <w:szCs w:val="18"/>
        </w:rPr>
        <w:t xml:space="preserve">Portofoliul </w:t>
      </w:r>
      <w:r w:rsidR="005636ED">
        <w:rPr>
          <w:rFonts w:cs="Arial"/>
          <w:color w:val="auto"/>
          <w:szCs w:val="18"/>
        </w:rPr>
        <w:t xml:space="preserve"> de investiții care intră în </w:t>
      </w:r>
      <w:r w:rsidR="00281597" w:rsidRPr="00174138">
        <w:rPr>
          <w:rFonts w:cs="Arial"/>
          <w:color w:val="auto"/>
          <w:szCs w:val="18"/>
        </w:rPr>
        <w:t>domeniul de aplicare al prezentei</w:t>
      </w:r>
      <w:r w:rsidR="005636ED">
        <w:rPr>
          <w:rFonts w:cs="Arial"/>
          <w:color w:val="auto"/>
          <w:szCs w:val="18"/>
        </w:rPr>
        <w:t xml:space="preserve"> declarații </w:t>
      </w:r>
      <w:r w:rsidR="00281597" w:rsidRPr="00174138">
        <w:rPr>
          <w:rFonts w:cs="Arial"/>
          <w:color w:val="auto"/>
          <w:szCs w:val="18"/>
        </w:rPr>
        <w:t xml:space="preserve"> include:</w:t>
      </w:r>
    </w:p>
    <w:p w14:paraId="53433D13" w14:textId="4F3E0BD9" w:rsidR="00300C1E" w:rsidRPr="00667CC2" w:rsidRDefault="000F6188">
      <w:pPr>
        <w:pStyle w:val="ListParagraph"/>
        <w:rPr>
          <w:sz w:val="18"/>
          <w:szCs w:val="18"/>
        </w:rPr>
      </w:pPr>
      <w:r w:rsidRPr="0087494E">
        <w:rPr>
          <w:sz w:val="18"/>
          <w:szCs w:val="18"/>
          <w:lang w:val="it-IT"/>
        </w:rPr>
        <w:t xml:space="preserve">Investiții </w:t>
      </w:r>
      <w:r w:rsidR="00300C1E" w:rsidRPr="0087494E">
        <w:rPr>
          <w:sz w:val="18"/>
          <w:szCs w:val="18"/>
          <w:lang w:val="it-IT"/>
        </w:rPr>
        <w:t>în cont general</w:t>
      </w:r>
      <w:r w:rsidR="000A0FAA" w:rsidRPr="0087494E">
        <w:rPr>
          <w:sz w:val="18"/>
          <w:szCs w:val="18"/>
          <w:lang w:val="it-IT"/>
        </w:rPr>
        <w:t xml:space="preserve">, atât directe, cât și indirecte prin fonduri, </w:t>
      </w:r>
      <w:r w:rsidR="00300C1E" w:rsidRPr="0087494E">
        <w:rPr>
          <w:sz w:val="18"/>
          <w:szCs w:val="18"/>
          <w:lang w:val="it-IT"/>
        </w:rPr>
        <w:t xml:space="preserve">care acoperă capitalul acționarilor sau provizioanele tehnice ale produselor de asigurare în cazul în care riscul investițional este suportat exclusiv sau în principal de acționar. </w:t>
      </w:r>
      <w:r w:rsidR="00300C1E" w:rsidRPr="00667CC2">
        <w:rPr>
          <w:sz w:val="18"/>
          <w:szCs w:val="18"/>
        </w:rPr>
        <w:t>Mai exact:</w:t>
      </w:r>
    </w:p>
    <w:p w14:paraId="558AE5B5" w14:textId="01DE172A" w:rsidR="00300C1E" w:rsidRPr="0087494E" w:rsidRDefault="00300C1E" w:rsidP="00667CC2">
      <w:pPr>
        <w:pStyle w:val="ListParagraph"/>
        <w:numPr>
          <w:ilvl w:val="2"/>
          <w:numId w:val="32"/>
        </w:numPr>
        <w:rPr>
          <w:sz w:val="18"/>
          <w:szCs w:val="18"/>
          <w:lang w:val="it-IT"/>
        </w:rPr>
      </w:pPr>
      <w:r w:rsidRPr="0087494E">
        <w:rPr>
          <w:sz w:val="18"/>
          <w:szCs w:val="18"/>
          <w:lang w:val="it-IT"/>
        </w:rPr>
        <w:t>Risc propriu: portofolii în care riscul investițional este suportat integral de acționari (de exemplu, fonduri ale acționarilor, fonduri de viață cu plată fixă);</w:t>
      </w:r>
    </w:p>
    <w:p w14:paraId="2D03D533" w14:textId="77777777" w:rsidR="00AA6795" w:rsidRPr="0087494E" w:rsidRDefault="00300C1E" w:rsidP="00AA6795">
      <w:pPr>
        <w:pStyle w:val="ListParagraph"/>
        <w:numPr>
          <w:ilvl w:val="2"/>
          <w:numId w:val="32"/>
        </w:numPr>
        <w:rPr>
          <w:sz w:val="18"/>
          <w:szCs w:val="18"/>
          <w:lang w:val="it-IT"/>
        </w:rPr>
      </w:pPr>
      <w:r w:rsidRPr="0087494E">
        <w:rPr>
          <w:sz w:val="18"/>
          <w:szCs w:val="18"/>
          <w:lang w:val="it-IT"/>
        </w:rPr>
        <w:t>Risc partajat: portofolii în care riscul investițional este împărțit între acționari și deținătorii de polițe de asigurare, cu prezența unor garanții materiale furnizate de companie (de exemplu, fonduri de viață cu participare la profit)</w:t>
      </w:r>
    </w:p>
    <w:p w14:paraId="12D1D667" w14:textId="7E6109E0" w:rsidR="00AC22BF" w:rsidRPr="0087494E" w:rsidRDefault="00720C2E" w:rsidP="00174E8F">
      <w:pPr>
        <w:pStyle w:val="ListParagraph"/>
        <w:rPr>
          <w:sz w:val="18"/>
          <w:szCs w:val="18"/>
          <w:lang w:val="it-IT"/>
        </w:rPr>
      </w:pPr>
      <w:r w:rsidRPr="0087494E">
        <w:rPr>
          <w:sz w:val="18"/>
          <w:szCs w:val="18"/>
          <w:lang w:val="it-IT"/>
        </w:rPr>
        <w:t>Portofolii de produse de asigurare legate de investiții</w:t>
      </w:r>
      <w:r w:rsidR="00715848" w:rsidRPr="0087494E">
        <w:rPr>
          <w:sz w:val="18"/>
          <w:szCs w:val="18"/>
          <w:lang w:val="it-IT"/>
        </w:rPr>
        <w:t xml:space="preserve"> </w:t>
      </w:r>
      <w:r w:rsidR="00D46480" w:rsidRPr="0087494E">
        <w:rPr>
          <w:sz w:val="18"/>
          <w:szCs w:val="18"/>
          <w:lang w:val="it-IT"/>
        </w:rPr>
        <w:t>în care riscul de investiție este suportat exclusiv sau în principal de deținătorii de polițe de asigurare (de exemplu, produse legate de unități și indici, fonduri de pensii în care performanța este direct legată de fonduri al căror risc de investiții este suportat exclusiv sau în principal de deținătorii de polițe de asigurare/beneficiari).</w:t>
      </w:r>
    </w:p>
    <w:p w14:paraId="0090DC12" w14:textId="57AD6792" w:rsidR="00AC22BF" w:rsidRPr="0087494E" w:rsidRDefault="00FF3704" w:rsidP="00667CC2">
      <w:r w:rsidRPr="00FF3704">
        <w:t xml:space="preserve"> </w:t>
      </w:r>
      <w:r w:rsidR="000A36BF">
        <w:t xml:space="preserve">În ceea ce privește clasa de active, domeniul de aplicare include </w:t>
      </w:r>
      <w:r w:rsidR="000D701B">
        <w:t>acțiuni listate, obligațiuni corporative,</w:t>
      </w:r>
      <w:r w:rsidR="00EB2436">
        <w:t xml:space="preserve"> obligațiuni suverane</w:t>
      </w:r>
      <w:r w:rsidR="000D701B">
        <w:t xml:space="preserve"> și imobiliare. Domeniul de aplicare nu include instrumente derivate, numerar</w:t>
      </w:r>
      <w:r w:rsidR="009A32C2">
        <w:t xml:space="preserve"> și trezorerie, ipoteci</w:t>
      </w:r>
      <w:r w:rsidR="00435239">
        <w:t xml:space="preserve"> și împrumuturi, securități garantate</w:t>
      </w:r>
      <w:r w:rsidR="00960F12">
        <w:t>, capitaluri proprii necotate</w:t>
      </w:r>
      <w:r w:rsidR="001D493F">
        <w:t>.</w:t>
      </w:r>
      <w:r w:rsidR="00580B7A">
        <w:t xml:space="preserve"> </w:t>
      </w:r>
    </w:p>
    <w:p w14:paraId="25F37724" w14:textId="00075605" w:rsidR="004C5AD5" w:rsidRPr="0087494E" w:rsidRDefault="009B6E89">
      <w:pPr>
        <w:widowControl/>
        <w:suppressAutoHyphens w:val="0"/>
        <w:spacing w:before="0" w:after="0" w:line="240" w:lineRule="auto"/>
        <w:contextualSpacing w:val="0"/>
        <w:rPr>
          <w:rFonts w:cs="Arial"/>
          <w:color w:val="auto"/>
          <w:szCs w:val="18"/>
        </w:rPr>
      </w:pPr>
      <w:r w:rsidRPr="0087494E">
        <w:rPr>
          <w:szCs w:val="18"/>
        </w:rPr>
        <w:t xml:space="preserve"> </w:t>
      </w:r>
      <w:r w:rsidR="00264030" w:rsidRPr="0087494E">
        <w:rPr>
          <w:szCs w:val="18"/>
        </w:rPr>
        <w:t>Portofoliul</w:t>
      </w:r>
      <w:r w:rsidRPr="0087494E">
        <w:rPr>
          <w:szCs w:val="18"/>
        </w:rPr>
        <w:t xml:space="preserve">  Investment  </w:t>
      </w:r>
      <w:r w:rsidR="00A10EF2" w:rsidRPr="0087494E">
        <w:rPr>
          <w:szCs w:val="18"/>
        </w:rPr>
        <w:t>Linked</w:t>
      </w:r>
      <w:r w:rsidR="00153449" w:rsidRPr="0087494E">
        <w:rPr>
          <w:szCs w:val="18"/>
        </w:rPr>
        <w:t>a</w:t>
      </w:r>
      <w:r w:rsidR="00A10EF2" w:rsidRPr="0087494E">
        <w:rPr>
          <w:szCs w:val="18"/>
        </w:rPr>
        <w:t xml:space="preserve">fost introdus în </w:t>
      </w:r>
      <w:r w:rsidRPr="0087494E">
        <w:rPr>
          <w:szCs w:val="18"/>
        </w:rPr>
        <w:t xml:space="preserve">perimetrul </w:t>
      </w:r>
      <w:r w:rsidR="00A10EF2" w:rsidRPr="0087494E">
        <w:rPr>
          <w:szCs w:val="18"/>
        </w:rPr>
        <w:t xml:space="preserve"> calculului PAI pentru prima dată în acest an, printr-o abordare de cea mai bună</w:t>
      </w:r>
      <w:r w:rsidR="00BA5529" w:rsidRPr="0087494E">
        <w:rPr>
          <w:szCs w:val="18"/>
        </w:rPr>
        <w:t xml:space="preserve">abordare  bazându-se pe </w:t>
      </w:r>
      <w:r w:rsidR="003C487B" w:rsidRPr="0087494E">
        <w:rPr>
          <w:szCs w:val="18"/>
        </w:rPr>
        <w:t>modelul european ESG (EET) furnizat de administratorii de active, precum și pe pozițiile de fonduri linie cu linie pentru a umple</w:t>
      </w:r>
      <w:r w:rsidR="00B70A12" w:rsidRPr="0087494E">
        <w:rPr>
          <w:szCs w:val="18"/>
        </w:rPr>
        <w:t xml:space="preserve"> golurile, </w:t>
      </w:r>
      <w:r w:rsidR="00281597" w:rsidRPr="0087494E">
        <w:rPr>
          <w:szCs w:val="18"/>
        </w:rPr>
        <w:t xml:space="preserve"> acolo unde sunt disponibile.</w:t>
      </w:r>
    </w:p>
    <w:p w14:paraId="4DB6EF63" w14:textId="58C07215" w:rsidR="004C5AD5" w:rsidRPr="0087494E" w:rsidRDefault="00BD497F">
      <w:pPr>
        <w:widowControl/>
        <w:suppressAutoHyphens w:val="0"/>
        <w:spacing w:before="0" w:after="0" w:line="240" w:lineRule="auto"/>
        <w:contextualSpacing w:val="0"/>
        <w:rPr>
          <w:rFonts w:cs="Arial"/>
          <w:color w:val="auto"/>
          <w:szCs w:val="18"/>
        </w:rPr>
      </w:pPr>
      <w:r w:rsidRPr="000B6C12">
        <w:rPr>
          <w:rFonts w:cs="Arial"/>
          <w:color w:val="auto"/>
          <w:szCs w:val="18"/>
        </w:rPr>
        <w:t>Ca urmare,</w:t>
      </w:r>
      <w:r w:rsidR="000F408A" w:rsidRPr="000B6C12">
        <w:rPr>
          <w:rFonts w:cs="Arial"/>
          <w:color w:val="auto"/>
          <w:szCs w:val="18"/>
        </w:rPr>
        <w:t>comparația dintre 202</w:t>
      </w:r>
      <w:r w:rsidR="00191A00">
        <w:rPr>
          <w:rFonts w:cs="Arial"/>
          <w:color w:val="auto"/>
          <w:szCs w:val="18"/>
        </w:rPr>
        <w:t>3</w:t>
      </w:r>
      <w:r w:rsidR="008E7A02">
        <w:rPr>
          <w:rFonts w:cs="Arial"/>
          <w:color w:val="auto"/>
          <w:szCs w:val="18"/>
        </w:rPr>
        <w:t xml:space="preserve"> și 202</w:t>
      </w:r>
      <w:r w:rsidR="00191A00">
        <w:rPr>
          <w:rFonts w:cs="Arial"/>
          <w:color w:val="auto"/>
          <w:szCs w:val="18"/>
        </w:rPr>
        <w:t>4</w:t>
      </w:r>
      <w:r w:rsidR="008E7A02">
        <w:rPr>
          <w:rFonts w:cs="Arial"/>
          <w:color w:val="auto"/>
          <w:szCs w:val="18"/>
        </w:rPr>
        <w:t xml:space="preserve"> PAI</w:t>
      </w:r>
      <w:r w:rsidR="000E1F67">
        <w:rPr>
          <w:rFonts w:cs="Arial"/>
          <w:color w:val="auto"/>
          <w:szCs w:val="18"/>
        </w:rPr>
        <w:t>(</w:t>
      </w:r>
      <w:r w:rsidR="002947F2">
        <w:rPr>
          <w:rFonts w:cs="Arial"/>
          <w:color w:val="auto"/>
          <w:szCs w:val="18"/>
        </w:rPr>
        <w:t xml:space="preserve">afișată în secțiunea "2.2. Descrierea principalelor efecte negative asupra factorilor de durabilitate") este influențată de modificarea mai sus a domeniului de aplicare al raportării, precum și de </w:t>
      </w:r>
      <w:r w:rsidR="000E1F67">
        <w:rPr>
          <w:rFonts w:cs="Arial"/>
          <w:color w:val="auto"/>
          <w:szCs w:val="18"/>
        </w:rPr>
        <w:t xml:space="preserve"> </w:t>
      </w:r>
      <w:r w:rsidR="00AD7B7E">
        <w:rPr>
          <w:rFonts w:cs="Arial"/>
          <w:color w:val="auto"/>
          <w:szCs w:val="18"/>
        </w:rPr>
        <w:t>modificările metodologice intervenite în cursul anului 202</w:t>
      </w:r>
      <w:r w:rsidR="00360301">
        <w:rPr>
          <w:rFonts w:cs="Arial"/>
          <w:color w:val="auto"/>
          <w:szCs w:val="18"/>
        </w:rPr>
        <w:t>4</w:t>
      </w:r>
      <w:r w:rsidR="00024EDF">
        <w:rPr>
          <w:rFonts w:cs="Arial"/>
          <w:color w:val="auto"/>
          <w:szCs w:val="18"/>
        </w:rPr>
        <w:t xml:space="preserve"> în calcularea PAI de către furnizorul de date. Pentru o explicație </w:t>
      </w:r>
      <w:r w:rsidR="00024EDF">
        <w:rPr>
          <w:rFonts w:cs="Arial"/>
          <w:color w:val="auto"/>
          <w:szCs w:val="18"/>
        </w:rPr>
        <w:lastRenderedPageBreak/>
        <w:t xml:space="preserve">detaliată a factorilor implicați și a limitărilor acestora, consultați secțiunea "Surse de date, domeniul de aplicare și limitările generale pentru principalele cifre de impact negativ publicate" și secțiunea "2.6 Comparație istorică". </w:t>
      </w:r>
    </w:p>
    <w:p w14:paraId="264D491A" w14:textId="6ADD1C66" w:rsidR="00153449" w:rsidRPr="0087494E" w:rsidRDefault="00153449">
      <w:pPr>
        <w:widowControl/>
        <w:suppressAutoHyphens w:val="0"/>
        <w:spacing w:before="0" w:after="0" w:line="240" w:lineRule="auto"/>
        <w:contextualSpacing w:val="0"/>
        <w:rPr>
          <w:rFonts w:cs="Arial"/>
          <w:color w:val="auto"/>
          <w:szCs w:val="18"/>
        </w:rPr>
        <w:sectPr w:rsidR="00153449" w:rsidRPr="0087494E" w:rsidSect="00B65630">
          <w:headerReference w:type="even" r:id="rId17"/>
          <w:headerReference w:type="default" r:id="rId18"/>
          <w:footerReference w:type="default" r:id="rId19"/>
          <w:headerReference w:type="first" r:id="rId20"/>
          <w:footerReference w:type="first" r:id="rId21"/>
          <w:pgSz w:w="11900" w:h="16840"/>
          <w:pgMar w:top="2268" w:right="851" w:bottom="1134" w:left="851" w:header="567" w:footer="567" w:gutter="0"/>
          <w:cols w:space="720"/>
          <w:docGrid w:linePitch="245"/>
        </w:sectPr>
      </w:pPr>
      <w:r w:rsidRPr="00AC4C41">
        <w:t>În calitate de Generali, ne angajăm să evaluăm și să implementăm cele mai bune soluții și procese de raportare disponibile pentru a</w:t>
      </w:r>
      <w:r w:rsidR="00B305A3">
        <w:t xml:space="preserve"> crește  progresiv</w:t>
      </w:r>
      <w:r w:rsidRPr="00AC4C41">
        <w:t xml:space="preserve"> acoperirea, domeniul de aplicare și calitatea datelor raportării SFDR.</w:t>
      </w:r>
    </w:p>
    <w:p w14:paraId="1BCDA26D" w14:textId="7BAFF257" w:rsidR="00957CED" w:rsidRPr="0087494E" w:rsidRDefault="00957CED" w:rsidP="002476E8">
      <w:pPr>
        <w:widowControl/>
        <w:suppressAutoHyphens w:val="0"/>
        <w:spacing w:before="0" w:after="0" w:line="240" w:lineRule="auto"/>
        <w:contextualSpacing w:val="0"/>
        <w:rPr>
          <w:rFonts w:cs="Arial"/>
          <w:color w:val="auto"/>
          <w:szCs w:val="18"/>
        </w:rPr>
      </w:pPr>
    </w:p>
    <w:p w14:paraId="28BCAB91" w14:textId="3D808943" w:rsidR="00E13AB8" w:rsidRPr="00174138" w:rsidRDefault="00486BE5" w:rsidP="00150FDB">
      <w:pPr>
        <w:pStyle w:val="Heading2"/>
        <w:spacing w:before="0" w:after="240" w:line="240" w:lineRule="auto"/>
        <w:ind w:left="0" w:hanging="567"/>
        <w:rPr>
          <w:lang w:val="en-GB"/>
        </w:rPr>
      </w:pPr>
      <w:bookmarkStart w:id="12" w:name="_Toc136509349"/>
      <w:bookmarkStart w:id="13" w:name="_Toc138088058"/>
      <w:r w:rsidRPr="00174138">
        <w:t>Descrierea principalelor efecte negative asupra factorilor de durabilitate</w:t>
      </w:r>
      <w:bookmarkEnd w:id="12"/>
      <w:bookmarkEnd w:id="13"/>
    </w:p>
    <w:p w14:paraId="60CDABED" w14:textId="77777777" w:rsidR="000444F3" w:rsidRPr="00174138" w:rsidRDefault="000444F3" w:rsidP="00150FDB">
      <w:pPr>
        <w:widowControl/>
        <w:suppressAutoHyphens w:val="0"/>
        <w:autoSpaceDN/>
        <w:spacing w:before="0" w:after="0" w:line="240" w:lineRule="auto"/>
        <w:contextualSpacing w:val="0"/>
        <w:jc w:val="center"/>
        <w:rPr>
          <w:rFonts w:eastAsia="Calibri" w:cs="Arial"/>
          <w:i/>
          <w:noProof/>
          <w:color w:val="auto"/>
          <w:sz w:val="22"/>
          <w:szCs w:val="20"/>
          <w:lang w:val="en-GB" w:eastAsia="en-US"/>
        </w:rPr>
      </w:pPr>
      <w:r w:rsidRPr="00174138">
        <w:rPr>
          <w:rFonts w:eastAsia="Calibri" w:cs="Arial"/>
          <w:i/>
          <w:noProof/>
          <w:color w:val="auto"/>
          <w:sz w:val="22"/>
          <w:szCs w:val="20"/>
          <w:lang w:eastAsia="en-US"/>
        </w:rPr>
        <w:t>Tabelul 1</w:t>
      </w:r>
    </w:p>
    <w:p w14:paraId="4F7FA0A5" w14:textId="77777777" w:rsidR="00810823" w:rsidRPr="00174138" w:rsidRDefault="00810823" w:rsidP="00150FDB">
      <w:pPr>
        <w:spacing w:before="0"/>
        <w:rPr>
          <w:b/>
          <w:bCs/>
          <w:iCs/>
          <w:noProof/>
        </w:rPr>
      </w:pPr>
    </w:p>
    <w:tbl>
      <w:tblPr>
        <w:tblStyle w:val="TableGrid21"/>
        <w:tblW w:w="14454" w:type="dxa"/>
        <w:tblLayout w:type="fixed"/>
        <w:tblCellMar>
          <w:left w:w="28" w:type="dxa"/>
          <w:right w:w="28" w:type="dxa"/>
        </w:tblCellMar>
        <w:tblLook w:val="04A0" w:firstRow="1" w:lastRow="0" w:firstColumn="1" w:lastColumn="0" w:noHBand="0" w:noVBand="1"/>
      </w:tblPr>
      <w:tblGrid>
        <w:gridCol w:w="881"/>
        <w:gridCol w:w="1020"/>
        <w:gridCol w:w="2608"/>
        <w:gridCol w:w="1179"/>
        <w:gridCol w:w="1180"/>
        <w:gridCol w:w="1916"/>
        <w:gridCol w:w="5670"/>
      </w:tblGrid>
      <w:tr w:rsidR="00802956" w:rsidRPr="00E3260F" w14:paraId="6B3F9FA8" w14:textId="77777777" w:rsidTr="00C55B8D">
        <w:trPr>
          <w:trHeight w:val="340"/>
          <w:tblHeader/>
        </w:trPr>
        <w:tc>
          <w:tcPr>
            <w:tcW w:w="14454" w:type="dxa"/>
            <w:gridSpan w:val="7"/>
            <w:tcBorders>
              <w:top w:val="single" w:sz="4" w:space="0" w:color="auto"/>
              <w:left w:val="single" w:sz="4" w:space="0" w:color="auto"/>
              <w:bottom w:val="single" w:sz="4" w:space="0" w:color="auto"/>
              <w:right w:val="single" w:sz="4" w:space="0" w:color="auto"/>
            </w:tcBorders>
            <w:shd w:val="clear" w:color="auto" w:fill="C00000"/>
            <w:vAlign w:val="center"/>
          </w:tcPr>
          <w:p w14:paraId="116F05D6" w14:textId="77777777" w:rsidR="00802956" w:rsidRPr="0087494E" w:rsidRDefault="00802956" w:rsidP="00150FDB">
            <w:pPr>
              <w:spacing w:before="0"/>
              <w:jc w:val="center"/>
              <w:rPr>
                <w:b/>
                <w:bCs/>
              </w:rPr>
            </w:pPr>
            <w:r w:rsidRPr="00174138">
              <w:rPr>
                <w:b/>
                <w:bCs/>
                <w:color w:val="FFFFFF" w:themeColor="background1"/>
              </w:rPr>
              <w:t>Indicatori aplicabili investițiilor în societăți în care s-a investit</w:t>
            </w:r>
          </w:p>
        </w:tc>
      </w:tr>
      <w:tr w:rsidR="00E71AC2" w:rsidRPr="00E3260F" w14:paraId="254D9AE5" w14:textId="77777777" w:rsidTr="00B22082">
        <w:trPr>
          <w:trHeight w:val="340"/>
          <w:tblHeader/>
        </w:trPr>
        <w:tc>
          <w:tcPr>
            <w:tcW w:w="1901" w:type="dxa"/>
            <w:gridSpan w:val="2"/>
            <w:tcBorders>
              <w:top w:val="single" w:sz="4" w:space="0" w:color="auto"/>
              <w:left w:val="single" w:sz="4" w:space="0" w:color="auto"/>
              <w:bottom w:val="single" w:sz="4" w:space="0" w:color="auto"/>
              <w:right w:val="single" w:sz="4" w:space="0" w:color="auto"/>
            </w:tcBorders>
            <w:vAlign w:val="center"/>
          </w:tcPr>
          <w:p w14:paraId="0AE1B469" w14:textId="72B452CC" w:rsidR="00E71AC2" w:rsidRPr="00174138" w:rsidRDefault="00E71AC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Indicator de sustenabilitate negativ</w:t>
            </w:r>
          </w:p>
        </w:tc>
        <w:tc>
          <w:tcPr>
            <w:tcW w:w="2608" w:type="dxa"/>
            <w:tcBorders>
              <w:top w:val="single" w:sz="4" w:space="0" w:color="auto"/>
              <w:left w:val="single" w:sz="4" w:space="0" w:color="auto"/>
              <w:bottom w:val="single" w:sz="4" w:space="0" w:color="auto"/>
              <w:right w:val="single" w:sz="4" w:space="0" w:color="auto"/>
            </w:tcBorders>
            <w:vAlign w:val="center"/>
          </w:tcPr>
          <w:p w14:paraId="0FD2C7DC" w14:textId="065AB125" w:rsidR="00E71AC2" w:rsidRPr="00174138" w:rsidRDefault="00E71AC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Metric</w:t>
            </w:r>
          </w:p>
        </w:tc>
        <w:tc>
          <w:tcPr>
            <w:tcW w:w="1179" w:type="dxa"/>
            <w:tcBorders>
              <w:top w:val="single" w:sz="4" w:space="0" w:color="auto"/>
              <w:left w:val="single" w:sz="4" w:space="0" w:color="auto"/>
              <w:bottom w:val="single" w:sz="4" w:space="0" w:color="auto"/>
              <w:right w:val="single" w:sz="4" w:space="0" w:color="auto"/>
            </w:tcBorders>
            <w:vAlign w:val="center"/>
          </w:tcPr>
          <w:p w14:paraId="244A00BD" w14:textId="69E57860" w:rsidR="00E71AC2" w:rsidRPr="00174138" w:rsidRDefault="00E71AC2" w:rsidP="00DA4C02">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F154C9">
              <w:rPr>
                <w:rFonts w:eastAsia="Calibri" w:cs="Arial"/>
                <w:b/>
                <w:noProof/>
                <w:color w:val="auto"/>
                <w:sz w:val="16"/>
                <w:szCs w:val="16"/>
                <w:lang w:eastAsia="en-US"/>
              </w:rPr>
              <w:t>4</w:t>
            </w:r>
          </w:p>
        </w:tc>
        <w:tc>
          <w:tcPr>
            <w:tcW w:w="1180" w:type="dxa"/>
            <w:tcBorders>
              <w:top w:val="single" w:sz="4" w:space="0" w:color="auto"/>
              <w:left w:val="single" w:sz="4" w:space="0" w:color="auto"/>
              <w:bottom w:val="single" w:sz="4" w:space="0" w:color="auto"/>
              <w:right w:val="single" w:sz="4" w:space="0" w:color="auto"/>
            </w:tcBorders>
            <w:vAlign w:val="center"/>
          </w:tcPr>
          <w:p w14:paraId="460B26E1" w14:textId="2347F888" w:rsidR="00E71AC2" w:rsidRPr="00174138" w:rsidRDefault="00E71AC2" w:rsidP="00DA4C02">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F154C9">
              <w:rPr>
                <w:rFonts w:eastAsia="Calibri" w:cs="Arial"/>
                <w:b/>
                <w:noProof/>
                <w:color w:val="auto"/>
                <w:sz w:val="16"/>
                <w:szCs w:val="16"/>
                <w:lang w:eastAsia="en-US"/>
              </w:rPr>
              <w:t>3</w:t>
            </w:r>
          </w:p>
        </w:tc>
        <w:tc>
          <w:tcPr>
            <w:tcW w:w="1916" w:type="dxa"/>
            <w:tcBorders>
              <w:top w:val="single" w:sz="4" w:space="0" w:color="auto"/>
              <w:left w:val="single" w:sz="4" w:space="0" w:color="auto"/>
              <w:bottom w:val="single" w:sz="4" w:space="0" w:color="auto"/>
              <w:right w:val="single" w:sz="4" w:space="0" w:color="auto"/>
            </w:tcBorders>
            <w:vAlign w:val="center"/>
          </w:tcPr>
          <w:p w14:paraId="34DF65DF" w14:textId="787E417A" w:rsidR="00E71AC2" w:rsidRPr="00174138" w:rsidRDefault="00E71AC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Explicație</w:t>
            </w:r>
            <w:r w:rsidR="00814CD6">
              <w:rPr>
                <w:rStyle w:val="FootnoteReference"/>
                <w:rFonts w:eastAsia="Calibri" w:cs="Arial"/>
                <w:b/>
                <w:noProof/>
                <w:color w:val="auto"/>
                <w:szCs w:val="16"/>
                <w:lang w:eastAsia="en-US"/>
              </w:rPr>
              <w:footnoteReference w:id="6"/>
            </w:r>
          </w:p>
        </w:tc>
        <w:tc>
          <w:tcPr>
            <w:tcW w:w="5670" w:type="dxa"/>
            <w:tcBorders>
              <w:top w:val="single" w:sz="4" w:space="0" w:color="auto"/>
              <w:left w:val="single" w:sz="4" w:space="0" w:color="auto"/>
              <w:bottom w:val="single" w:sz="4" w:space="0" w:color="auto"/>
              <w:right w:val="single" w:sz="4" w:space="0" w:color="auto"/>
            </w:tcBorders>
            <w:vAlign w:val="center"/>
          </w:tcPr>
          <w:p w14:paraId="7953F792" w14:textId="0561E403" w:rsidR="00E71AC2" w:rsidRPr="0087494E" w:rsidRDefault="00E71AC2"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Acțiunile întreprinse, acțiunile planificate și obiectivele stabilite pentru următoarea perioadă de referință</w:t>
            </w:r>
            <w:r w:rsidR="00105568">
              <w:rPr>
                <w:rStyle w:val="FootnoteReference"/>
                <w:rFonts w:eastAsia="Calibri" w:cs="Arial"/>
                <w:b/>
                <w:noProof/>
                <w:color w:val="auto"/>
                <w:szCs w:val="16"/>
                <w:lang w:eastAsia="en-US"/>
              </w:rPr>
              <w:footnoteReference w:id="7"/>
            </w:r>
          </w:p>
        </w:tc>
      </w:tr>
      <w:tr w:rsidR="00B4475B" w:rsidRPr="00E3260F" w14:paraId="6F18F510" w14:textId="77777777" w:rsidTr="00C55B8D">
        <w:trPr>
          <w:trHeight w:val="340"/>
        </w:trPr>
        <w:tc>
          <w:tcPr>
            <w:tcW w:w="1445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DCE3B9" w14:textId="77777777" w:rsidR="00B4475B" w:rsidRPr="0087494E" w:rsidRDefault="000F6337"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INDICATORI CLIMATICI ȘI ALȚI INDICATORI LEGAȚI DE MEDIU</w:t>
            </w:r>
          </w:p>
        </w:tc>
      </w:tr>
      <w:tr w:rsidR="003C50A4" w:rsidRPr="00E3260F" w14:paraId="480D58CF" w14:textId="77777777" w:rsidTr="00B22082">
        <w:trPr>
          <w:trHeight w:val="340"/>
        </w:trPr>
        <w:tc>
          <w:tcPr>
            <w:tcW w:w="881" w:type="dxa"/>
            <w:vMerge w:val="restart"/>
            <w:tcBorders>
              <w:top w:val="single" w:sz="4" w:space="0" w:color="auto"/>
              <w:left w:val="single" w:sz="4" w:space="0" w:color="auto"/>
              <w:right w:val="single" w:sz="4" w:space="0" w:color="auto"/>
            </w:tcBorders>
            <w:vAlign w:val="center"/>
            <w:hideMark/>
          </w:tcPr>
          <w:p w14:paraId="1328EDE4" w14:textId="77777777"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 xml:space="preserve">Emisii de gaze cu efect de seră </w:t>
            </w:r>
          </w:p>
        </w:tc>
        <w:tc>
          <w:tcPr>
            <w:tcW w:w="1020" w:type="dxa"/>
            <w:vMerge w:val="restart"/>
            <w:tcBorders>
              <w:top w:val="single" w:sz="4" w:space="0" w:color="auto"/>
              <w:left w:val="single" w:sz="4" w:space="0" w:color="auto"/>
              <w:right w:val="single" w:sz="4" w:space="0" w:color="auto"/>
            </w:tcBorders>
            <w:vAlign w:val="center"/>
            <w:hideMark/>
          </w:tcPr>
          <w:p w14:paraId="243B010C" w14:textId="0CFA0904" w:rsidR="003C50A4" w:rsidRPr="00174138" w:rsidRDefault="003C50A4" w:rsidP="00DA4C02">
            <w:pPr>
              <w:spacing w:before="0"/>
              <w:rPr>
                <w:rFonts w:eastAsia="Calibri" w:cs="Arial"/>
                <w:noProof/>
                <w:sz w:val="14"/>
                <w:szCs w:val="14"/>
              </w:rPr>
            </w:pPr>
            <w:r w:rsidRPr="00174138">
              <w:rPr>
                <w:rFonts w:eastAsia="Calibri" w:cs="Arial"/>
                <w:noProof/>
                <w:sz w:val="14"/>
                <w:szCs w:val="14"/>
              </w:rPr>
              <w:t>1.Emisii de GES</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6A3EC33"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Emisii de GES din domeniul de aplicare 1</w:t>
            </w:r>
          </w:p>
        </w:tc>
        <w:tc>
          <w:tcPr>
            <w:tcW w:w="1179" w:type="dxa"/>
            <w:tcBorders>
              <w:top w:val="single" w:sz="4" w:space="0" w:color="auto"/>
              <w:left w:val="single" w:sz="4" w:space="0" w:color="auto"/>
              <w:bottom w:val="single" w:sz="4" w:space="0" w:color="auto"/>
              <w:right w:val="single" w:sz="4" w:space="0" w:color="auto"/>
            </w:tcBorders>
          </w:tcPr>
          <w:p w14:paraId="59A914E7" w14:textId="1B9547D3"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180" w:type="dxa"/>
            <w:tcBorders>
              <w:top w:val="single" w:sz="4" w:space="0" w:color="auto"/>
              <w:left w:val="single" w:sz="4" w:space="0" w:color="auto"/>
              <w:bottom w:val="single" w:sz="4" w:space="0" w:color="auto"/>
              <w:right w:val="single" w:sz="4" w:space="0" w:color="auto"/>
            </w:tcBorders>
          </w:tcPr>
          <w:p w14:paraId="2C65F559" w14:textId="2B3F03A7"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916" w:type="dxa"/>
            <w:vMerge w:val="restart"/>
            <w:tcBorders>
              <w:top w:val="single" w:sz="4" w:space="0" w:color="auto"/>
              <w:left w:val="single" w:sz="4" w:space="0" w:color="auto"/>
              <w:right w:val="single" w:sz="4" w:space="0" w:color="auto"/>
            </w:tcBorders>
          </w:tcPr>
          <w:p w14:paraId="5E822A0D" w14:textId="282A6721" w:rsidR="003C50A4" w:rsidRPr="0087494E" w:rsidRDefault="003C50A4" w:rsidP="00DA4C02">
            <w:pPr>
              <w:suppressAutoHyphens w:val="0"/>
              <w:spacing w:before="0" w:line="240" w:lineRule="auto"/>
              <w:jc w:val="both"/>
              <w:rPr>
                <w:rFonts w:eastAsia="Calibri" w:cs="Arial"/>
                <w:noProof/>
                <w:color w:val="auto"/>
                <w:sz w:val="12"/>
                <w:szCs w:val="12"/>
                <w:lang w:eastAsia="en-US"/>
              </w:rPr>
            </w:pPr>
            <w:r w:rsidRPr="00174138">
              <w:rPr>
                <w:rFonts w:eastAsia="Calibri" w:cs="Arial"/>
                <w:color w:val="auto"/>
                <w:sz w:val="14"/>
                <w:szCs w:val="14"/>
                <w:lang w:eastAsia="en-US"/>
              </w:rPr>
              <w:t>Suma emisiilor de carbon ale companiilor din portofoliu - Scope 1, 2 și 3 (tCO2e) ponderată în funcție de valoarea investiției portofoliului într-o companie și de cea mai recentă valoare a întreprinderii disponibilă a companiei, inclusiv numerarul.</w:t>
            </w:r>
          </w:p>
        </w:tc>
        <w:tc>
          <w:tcPr>
            <w:tcW w:w="5670" w:type="dxa"/>
            <w:vMerge w:val="restart"/>
            <w:tcBorders>
              <w:top w:val="single" w:sz="4" w:space="0" w:color="auto"/>
              <w:left w:val="single" w:sz="4" w:space="0" w:color="auto"/>
              <w:right w:val="single" w:sz="4" w:space="0" w:color="auto"/>
            </w:tcBorders>
          </w:tcPr>
          <w:p w14:paraId="18D86F67" w14:textId="3FA4D79F"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bookmarkStart w:id="14" w:name="_Hlk136423640"/>
            <w:r w:rsidRPr="00174138">
              <w:rPr>
                <w:rFonts w:eastAsia="Calibri" w:cs="Arial"/>
                <w:color w:val="auto"/>
                <w:sz w:val="14"/>
                <w:szCs w:val="14"/>
                <w:lang w:eastAsia="en-US"/>
              </w:rPr>
              <w:t xml:space="preserve">Grupul Generali se angajează să promoveze tranziția către o economie cu emisii scăzute de carbon, integrând dimensiunea socială în strategia climatică și dezvăluind riscurile și oportunitățile asociate schimbărilor climatice. </w:t>
            </w:r>
          </w:p>
          <w:p w14:paraId="42366F73" w14:textId="31F0C47B"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87494E">
              <w:rPr>
                <w:rFonts w:eastAsia="Calibri" w:cs="Arial"/>
                <w:color w:val="auto"/>
                <w:sz w:val="14"/>
                <w:szCs w:val="14"/>
                <w:lang w:eastAsia="en-US"/>
              </w:rPr>
              <w:t>În acest context, Strategia grupului privind schimbările climatice (</w:t>
            </w:r>
            <w:r w:rsidR="00C96CAB">
              <w:rPr>
                <w:szCs w:val="24"/>
              </w:rPr>
              <w:fldChar w:fldCharType="begin"/>
            </w:r>
            <w:r w:rsidR="00C96CAB" w:rsidRPr="0087494E">
              <w:instrText>HYPERLINK "https://www.generali.com/our-responsibilities/our-commitment-to-the-environment-and-climate"</w:instrText>
            </w:r>
            <w:r w:rsidR="00C96CAB">
              <w:rPr>
                <w:szCs w:val="24"/>
              </w:rPr>
              <w:fldChar w:fldCharType="separate"/>
            </w:r>
            <w:r w:rsidRPr="0087494E">
              <w:rPr>
                <w:rStyle w:val="Hyperlink"/>
                <w:rFonts w:eastAsia="Calibri" w:cs="Arial"/>
                <w:sz w:val="14"/>
                <w:szCs w:val="14"/>
                <w:lang w:eastAsia="en-US"/>
              </w:rPr>
              <w:t>https://www.generali.com/our-responsibilities/our-commitment-to-the-environment-and-climate</w:t>
            </w:r>
            <w:r w:rsidR="00C96CAB">
              <w:rPr>
                <w:rStyle w:val="Hyperlink"/>
                <w:rFonts w:eastAsia="Calibri" w:cs="Arial"/>
                <w:sz w:val="14"/>
                <w:szCs w:val="14"/>
                <w:lang w:eastAsia="en-US"/>
              </w:rPr>
              <w:fldChar w:fldCharType="end"/>
            </w:r>
            <w:r w:rsidRPr="0087494E">
              <w:rPr>
                <w:rFonts w:eastAsia="Calibri" w:cs="Arial"/>
                <w:color w:val="auto"/>
                <w:sz w:val="14"/>
                <w:szCs w:val="14"/>
                <w:lang w:eastAsia="en-US"/>
              </w:rPr>
              <w:t xml:space="preserve"> ) definește deciziile și acțiunile întreprinse de grup pentru a promova o tranziție echitabilă și justă din punct de vedere social către o economie cu zero emisii nete de gaze cu efect de seră (GES). Măsura și strategiile puse în aplicare de Grup abordează monitorizarea și gestionarea atât a emisiilor de gaze cu efect de seră ale companiilor în care s-a investit, cât și a variabilelor care au impact direct asupra emisiilor de carbon, cum ar fi producția și consumul de combustibili fosili / energie neregenerabilă, prin strategii dedicate, așa cum sunt descrise mai jos.</w:t>
            </w:r>
          </w:p>
          <w:p w14:paraId="3D5E6EFC" w14:textId="7CAE74BA"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Pentru a stimula tranziția către o economie cu emisii scăzute de carbon, Grupul, în calitate de proprietar de active, a stabilit obiective climatice și de mediu prin aderarea la Alianța proprietarilor de active net-zero convocată de ONU (</w:t>
            </w:r>
            <w:r w:rsidR="00C96CAB">
              <w:rPr>
                <w:szCs w:val="24"/>
              </w:rPr>
              <w:fldChar w:fldCharType="begin"/>
            </w:r>
            <w:r w:rsidR="00C96CAB" w:rsidRPr="006A0E03">
              <w:instrText>HYPERLINK "https://www.unepfi.org/net-zero-alliance"</w:instrText>
            </w:r>
            <w:r w:rsidR="00C96CAB">
              <w:rPr>
                <w:szCs w:val="24"/>
              </w:rPr>
              <w:fldChar w:fldCharType="separate"/>
            </w:r>
            <w:r w:rsidRPr="00174138">
              <w:rPr>
                <w:rStyle w:val="Hyperlink"/>
                <w:rFonts w:eastAsia="Calibri" w:cs="Arial"/>
                <w:sz w:val="14"/>
                <w:szCs w:val="14"/>
                <w:lang w:eastAsia="en-US"/>
              </w:rPr>
              <w:t>https://www.unepfi.org/net-zero-alliance</w:t>
            </w:r>
            <w:r w:rsidR="00C96CAB">
              <w:rPr>
                <w:rStyle w:val="Hyperlink"/>
                <w:rFonts w:eastAsia="Calibri" w:cs="Arial"/>
                <w:sz w:val="14"/>
                <w:szCs w:val="14"/>
                <w:lang w:eastAsia="en-US"/>
              </w:rPr>
              <w:fldChar w:fldCharType="end"/>
            </w:r>
            <w:r w:rsidRPr="00174138">
              <w:rPr>
                <w:rFonts w:eastAsia="Calibri" w:cs="Arial"/>
                <w:color w:val="auto"/>
                <w:sz w:val="14"/>
                <w:szCs w:val="14"/>
                <w:lang w:eastAsia="en-US"/>
              </w:rPr>
              <w:t xml:space="preserve"> ).</w:t>
            </w:r>
          </w:p>
          <w:p w14:paraId="6AD49C13" w14:textId="4BC0FFCD"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Grupul se angajează să își tranziționeze portofoliile de investiții la zero emisii nete de gaze cu efect de seră până în 2050, în concordanță cu o creștere maximă a temperaturii de 1,5 grade Celsius peste temperaturile preindustriale, ținând cont de cele mai bune cunoștințe științifice disponibile și raportând periodic cu privire la progrese, inclusiv stabilirea unor obiective intermediare la fiecare cinci ani.</w:t>
            </w:r>
          </w:p>
          <w:p w14:paraId="79747FA2" w14:textId="34161C19"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 xml:space="preserve">Pentru portofoliul de investiții corporative (acțiuni și venit fix), Grupul s-a angajat să reducă  cu </w:t>
            </w:r>
            <w:r>
              <w:rPr>
                <w:rFonts w:eastAsia="Calibri" w:cs="Arial"/>
                <w:color w:val="auto"/>
                <w:sz w:val="14"/>
                <w:szCs w:val="14"/>
                <w:lang w:eastAsia="en-US"/>
              </w:rPr>
              <w:t>60</w:t>
            </w:r>
            <w:r w:rsidRPr="00174138">
              <w:rPr>
                <w:rFonts w:eastAsia="Calibri" w:cs="Arial"/>
                <w:color w:val="auto"/>
                <w:sz w:val="14"/>
                <w:szCs w:val="14"/>
                <w:lang w:eastAsia="en-US"/>
              </w:rPr>
              <w:t xml:space="preserve">% emisiile de GES până la 20 29 ani (comparativ cu valoarea de referință pentru anul 2019): în prezent, obiectivul stabilit de Generali acoperă emisiile de tip 1 (emisii directe ale </w:t>
            </w:r>
            <w:r w:rsidRPr="00174138">
              <w:rPr>
                <w:rFonts w:eastAsia="Calibri" w:cs="Arial"/>
                <w:color w:val="auto"/>
                <w:sz w:val="14"/>
                <w:szCs w:val="14"/>
                <w:lang w:eastAsia="en-US"/>
              </w:rPr>
              <w:lastRenderedPageBreak/>
              <w:t>activităților companiei) și emisiile de tip 2 (emisii indirecte din energia achiziționată de companie).</w:t>
            </w:r>
          </w:p>
          <w:p w14:paraId="1CAC8BE0" w14:textId="4F40BB7B"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Pentru a-și îndeplini angajamentele, Grupul definește și implementează în strategia și deciziile sale de investiții o combinație de abordări ESG specifice:</w:t>
            </w:r>
          </w:p>
          <w:p w14:paraId="227EC1FB" w14:textId="016533B5" w:rsidR="003C50A4" w:rsidRPr="0087494E" w:rsidRDefault="003C50A4" w:rsidP="00DA4C02">
            <w:pPr>
              <w:spacing w:before="0" w:after="60" w:line="240" w:lineRule="auto"/>
              <w:contextualSpacing w:val="0"/>
              <w:jc w:val="both"/>
              <w:rPr>
                <w:rFonts w:eastAsia="Calibri" w:cs="Arial"/>
                <w:color w:val="auto"/>
                <w:sz w:val="14"/>
                <w:szCs w:val="14"/>
              </w:rPr>
            </w:pPr>
            <w:r w:rsidRPr="00174138">
              <w:rPr>
                <w:rFonts w:eastAsia="Calibri" w:cs="Arial"/>
                <w:color w:val="auto"/>
                <w:sz w:val="14"/>
                <w:szCs w:val="14"/>
                <w:lang w:eastAsia="en-US"/>
              </w:rPr>
              <w:t xml:space="preserve">- </w:t>
            </w:r>
            <w:r w:rsidRPr="00174138">
              <w:rPr>
                <w:rFonts w:eastAsia="Calibri" w:cs="Arial"/>
                <w:b/>
                <w:bCs/>
                <w:color w:val="auto"/>
                <w:sz w:val="14"/>
                <w:szCs w:val="14"/>
              </w:rPr>
              <w:t xml:space="preserve">Screening negativ: </w:t>
            </w:r>
            <w:r w:rsidRPr="00174138">
              <w:rPr>
                <w:rFonts w:eastAsia="Calibri" w:cs="Arial"/>
                <w:color w:val="auto"/>
                <w:sz w:val="14"/>
                <w:szCs w:val="14"/>
              </w:rPr>
              <w:t xml:space="preserve">prin definirea restricțiilor de investiții asupra activităților/sectoarelor/emitenților cu cel mai mare impact asupra schimbărilor climatice, cu accent special pe </w:t>
            </w:r>
            <w:r w:rsidRPr="00174138">
              <w:rPr>
                <w:rFonts w:eastAsia="Calibri" w:cs="Arial"/>
                <w:bCs/>
                <w:noProof/>
                <w:color w:val="auto"/>
                <w:sz w:val="14"/>
                <w:szCs w:val="14"/>
                <w:lang w:eastAsia="en-US"/>
              </w:rPr>
              <w:t>companiile active în sectorul combustibililor fosili</w:t>
            </w:r>
            <w:r w:rsidRPr="00174138">
              <w:rPr>
                <w:rFonts w:eastAsia="Calibri" w:cs="Arial"/>
                <w:color w:val="auto"/>
                <w:sz w:val="14"/>
                <w:szCs w:val="14"/>
              </w:rPr>
              <w:t>: excluderi de la investițiile Generali în cărbune termic (inclusiv eliminarea treptată până în 2030 pentru investițiile în țările OCDE și 2040 în restul lumii) și petrol și gaze</w:t>
            </w:r>
            <w:r>
              <w:rPr>
                <w:rFonts w:eastAsia="Calibri" w:cs="Arial"/>
                <w:color w:val="auto"/>
                <w:sz w:val="14"/>
                <w:szCs w:val="14"/>
              </w:rPr>
              <w:t xml:space="preserve"> (</w:t>
            </w:r>
            <w:r w:rsidR="00E646B1">
              <w:rPr>
                <w:rFonts w:eastAsia="Calibri" w:cs="Arial"/>
                <w:color w:val="auto"/>
                <w:sz w:val="14"/>
                <w:szCs w:val="14"/>
              </w:rPr>
              <w:t xml:space="preserve">atât </w:t>
            </w:r>
            <w:r>
              <w:rPr>
                <w:rFonts w:eastAsia="Calibri" w:cs="Arial"/>
                <w:color w:val="auto"/>
                <w:sz w:val="14"/>
                <w:szCs w:val="14"/>
              </w:rPr>
              <w:t xml:space="preserve">convenționale, </w:t>
            </w:r>
            <w:r w:rsidR="00E646B1">
              <w:rPr>
                <w:rFonts w:eastAsia="Calibri" w:cs="Arial"/>
                <w:color w:val="auto"/>
                <w:sz w:val="14"/>
                <w:szCs w:val="14"/>
              </w:rPr>
              <w:t xml:space="preserve"> cât și neconvenționale</w:t>
            </w:r>
            <w:r>
              <w:rPr>
                <w:rFonts w:eastAsia="Calibri" w:cs="Arial"/>
                <w:color w:val="auto"/>
                <w:sz w:val="14"/>
                <w:szCs w:val="14"/>
              </w:rPr>
              <w:t>), pe baza unor criterii și praguri specifice sectorului</w:t>
            </w:r>
            <w:r w:rsidRPr="00174138">
              <w:rPr>
                <w:rFonts w:eastAsia="Calibri" w:cs="Arial"/>
                <w:color w:val="auto"/>
                <w:sz w:val="14"/>
                <w:szCs w:val="14"/>
              </w:rPr>
              <w:t xml:space="preserve">. </w:t>
            </w:r>
            <w:r>
              <w:rPr>
                <w:rFonts w:eastAsia="Calibri" w:cs="Arial"/>
                <w:color w:val="auto"/>
                <w:sz w:val="14"/>
                <w:szCs w:val="14"/>
              </w:rPr>
              <w:t>În special pentru petrol și gaze, Grupul a introdus în 2024 o nouă abordare de screening negativ:</w:t>
            </w:r>
            <w:r w:rsidRPr="0003141B">
              <w:rPr>
                <w:rFonts w:eastAsia="Calibri" w:cs="Arial"/>
                <w:color w:val="auto"/>
                <w:sz w:val="14"/>
                <w:szCs w:val="14"/>
              </w:rPr>
              <w:t>Grupul nu face noi investiții în emitenți din sectorul integrat de petrol și gaze care sunt considerați că nu au strategii eficiente de tranziție energetică care vizează atingerea obiectivului net-zero</w:t>
            </w:r>
            <w:r>
              <w:rPr>
                <w:rFonts w:eastAsia="Calibri" w:cs="Arial"/>
                <w:color w:val="auto"/>
                <w:sz w:val="14"/>
                <w:szCs w:val="14"/>
              </w:rPr>
              <w:t>; planurile de tranziție ale companiilor sunt evaluate folosind o metodologie internă pentru a identifica "Întârziații de tranziție" și pârghii specifice (managementul portofoliului și angajare) sunt activate ulterior.</w:t>
            </w:r>
            <w:r w:rsidR="00DD3A28">
              <w:rPr>
                <w:rFonts w:eastAsia="Calibri" w:cs="Arial"/>
                <w:color w:val="auto"/>
                <w:sz w:val="14"/>
                <w:szCs w:val="14"/>
              </w:rPr>
              <w:t xml:space="preserve"> Pentru mai multe detalii, consultați https://www.generali.com/sustainability/our-commitment-to-the-environment-and-climate</w:t>
            </w:r>
          </w:p>
          <w:p w14:paraId="73E47719" w14:textId="247BB002"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 xml:space="preserve">- </w:t>
            </w:r>
            <w:r w:rsidRPr="00174138">
              <w:rPr>
                <w:rFonts w:eastAsia="Calibri" w:cs="Arial"/>
                <w:b/>
                <w:bCs/>
                <w:color w:val="auto"/>
                <w:sz w:val="14"/>
                <w:szCs w:val="14"/>
                <w:lang w:eastAsia="en-US"/>
              </w:rPr>
              <w:t>Screening pozitiv / integrare ESG</w:t>
            </w:r>
            <w:r w:rsidRPr="00174138">
              <w:rPr>
                <w:rFonts w:eastAsia="Calibri" w:cs="Arial"/>
                <w:color w:val="auto"/>
                <w:sz w:val="14"/>
                <w:szCs w:val="14"/>
                <w:lang w:eastAsia="en-US"/>
              </w:rPr>
              <w:t xml:space="preserve">: introducerea treptată în construcții și alocări în portofoliu și luarea în considerare a climei pentru a evalua sectoarele și emitenții relevanți pe baza traiectoriei lor de decarbonizare. </w:t>
            </w:r>
          </w:p>
          <w:p w14:paraId="1EB9EDC6" w14:textId="3B3DFAAA" w:rsidR="003C50A4" w:rsidRPr="0087494E" w:rsidRDefault="003C50A4" w:rsidP="00DA4C02">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 xml:space="preserve">- </w:t>
            </w:r>
            <w:r w:rsidRPr="00174138">
              <w:rPr>
                <w:rFonts w:eastAsia="Calibri" w:cs="Arial"/>
                <w:b/>
                <w:bCs/>
                <w:color w:val="auto"/>
                <w:sz w:val="14"/>
                <w:szCs w:val="14"/>
                <w:lang w:eastAsia="en-US"/>
              </w:rPr>
              <w:t>Investiții durabile</w:t>
            </w:r>
            <w:r w:rsidRPr="00174138">
              <w:rPr>
                <w:rFonts w:eastAsia="Calibri" w:cs="Arial"/>
                <w:color w:val="auto"/>
                <w:sz w:val="14"/>
                <w:szCs w:val="14"/>
                <w:lang w:eastAsia="en-US"/>
              </w:rPr>
              <w:t>:</w:t>
            </w:r>
            <w:r w:rsidR="009C0639">
              <w:rPr>
                <w:rFonts w:eastAsia="Calibri" w:cs="Arial"/>
                <w:color w:val="auto"/>
                <w:sz w:val="14"/>
                <w:szCs w:val="14"/>
                <w:lang w:eastAsia="en-US"/>
              </w:rPr>
              <w:t xml:space="preserve"> în 2024,</w:t>
            </w:r>
            <w:r w:rsidRPr="00174138">
              <w:rPr>
                <w:rFonts w:eastAsia="Calibri" w:cs="Arial"/>
                <w:color w:val="auto"/>
                <w:sz w:val="14"/>
                <w:szCs w:val="14"/>
                <w:lang w:eastAsia="en-US"/>
              </w:rPr>
              <w:t xml:space="preserve">  Grupul </w:t>
            </w:r>
            <w:r w:rsidR="009C0639">
              <w:rPr>
                <w:rFonts w:eastAsia="Calibri" w:cs="Arial"/>
                <w:color w:val="auto"/>
                <w:sz w:val="14"/>
                <w:szCs w:val="14"/>
                <w:lang w:eastAsia="en-US"/>
              </w:rPr>
              <w:t xml:space="preserve">a atins în avans </w:t>
            </w:r>
            <w:r w:rsidRPr="00174138">
              <w:rPr>
                <w:rFonts w:eastAsia="Calibri" w:cs="Arial"/>
                <w:color w:val="auto"/>
                <w:sz w:val="14"/>
                <w:szCs w:val="14"/>
                <w:lang w:eastAsia="en-US"/>
              </w:rPr>
              <w:t xml:space="preserve">obiectivul de a investi între 8,5 și 9,5 miliarde de euro în obligațiuni verzi și durabile până în 2025. </w:t>
            </w:r>
            <w:r w:rsidR="000716D7">
              <w:rPr>
                <w:rFonts w:eastAsia="Calibri" w:cs="Arial"/>
                <w:color w:val="auto"/>
                <w:sz w:val="14"/>
                <w:szCs w:val="14"/>
                <w:lang w:eastAsia="en-US"/>
              </w:rPr>
              <w:t>La YE24, Group a declarat un nou obiectiv, de a investi încă 12 miliarde de euro în investiții în soluții climatice</w:t>
            </w:r>
            <w:r w:rsidR="00B36F25">
              <w:rPr>
                <w:rFonts w:eastAsia="Calibri" w:cs="Arial"/>
                <w:color w:val="auto"/>
                <w:sz w:val="14"/>
                <w:szCs w:val="14"/>
                <w:lang w:eastAsia="en-US"/>
              </w:rPr>
              <w:t xml:space="preserve"> până în 2027. </w:t>
            </w:r>
            <w:r w:rsidRPr="00174138">
              <w:rPr>
                <w:rFonts w:eastAsia="Calibri" w:cs="Arial"/>
                <w:color w:val="auto"/>
                <w:sz w:val="14"/>
                <w:szCs w:val="14"/>
                <w:lang w:eastAsia="en-US"/>
              </w:rPr>
              <w:t xml:space="preserve">Aceste investiții contribuie la finanțarea tranziției către o economie mai durabilă și mai puțin intensivă în emisii de dioxid de carbon. </w:t>
            </w:r>
          </w:p>
          <w:p w14:paraId="65023E54" w14:textId="6196685C" w:rsidR="003C50A4" w:rsidRPr="0087494E" w:rsidRDefault="003C50A4" w:rsidP="00DA4C02">
            <w:pPr>
              <w:spacing w:before="0" w:after="60" w:line="240" w:lineRule="auto"/>
              <w:contextualSpacing w:val="0"/>
              <w:jc w:val="both"/>
              <w:rPr>
                <w:rFonts w:eastAsia="Calibri" w:cs="Arial"/>
                <w:color w:val="auto"/>
                <w:sz w:val="14"/>
                <w:szCs w:val="14"/>
                <w:lang w:eastAsia="en-US"/>
              </w:rPr>
            </w:pPr>
            <w:r w:rsidRPr="0087494E">
              <w:rPr>
                <w:rFonts w:eastAsia="Calibri" w:cs="Arial"/>
                <w:b/>
                <w:bCs/>
                <w:color w:val="auto"/>
                <w:sz w:val="14"/>
                <w:szCs w:val="14"/>
                <w:lang w:eastAsia="en-US"/>
              </w:rPr>
              <w:t>-Active Ownership</w:t>
            </w:r>
            <w:r w:rsidRPr="0087494E">
              <w:rPr>
                <w:rFonts w:eastAsia="Calibri" w:cs="Arial"/>
                <w:color w:val="auto"/>
                <w:sz w:val="14"/>
                <w:szCs w:val="14"/>
                <w:lang w:eastAsia="en-US"/>
              </w:rPr>
              <w:t xml:space="preserve">: (i) prin stabilirea unor obiective de </w:t>
            </w:r>
            <w:r w:rsidR="00AF680E">
              <w:rPr>
                <w:rFonts w:eastAsia="Calibri" w:cs="Arial"/>
                <w:color w:val="auto"/>
                <w:sz w:val="14"/>
                <w:szCs w:val="14"/>
                <w:lang w:eastAsia="en-US"/>
              </w:rPr>
              <w:t>angajament</w:t>
            </w:r>
            <w:r w:rsidRPr="0087494E">
              <w:rPr>
                <w:rFonts w:eastAsia="Calibri" w:cs="Arial"/>
                <w:color w:val="auto"/>
                <w:sz w:val="14"/>
                <w:szCs w:val="14"/>
                <w:lang w:eastAsia="en-US"/>
              </w:rPr>
              <w:t xml:space="preserve"> până la YE2029 pentru companiile din portofoliul nr. 20 care reprezintă cele mai mari emisii de GES pentru a influența planul lor de tranziție către o lume net-zero până în 2050 (ii) prin menținerea practicilor de vot ale Grupului aliniate la angajamentul net-zero și prin utilizarea voturilor pentru a trage la răspundere companiile atunci când nu fac progrese satisfăcătoare în abordarea schimbărilor climatice sau în sprijinirea atenuării schimbărilor climatice; și (iii) prin aderarea la activități instituționale în cadrul rețelelor și afilierilor noastre. În special pentru petrol și gaze, Grupul Generali intenționează să desfășoare în mod sistematic angajamente climatice și decizii adecvate de vot prin procură cu companiile identificate ca "întârziate în tranziție" de metodologia noastră internă, prioritizând pe baza expunerii la investiții. Aceste angajamente și acțiuni de vot prin procură intenționează să aibă impact, deoarece se vor concentra pe principalele puncte slabe ale strategiilor de tranziție ale companiilor de petrol și gaze identificate de metodologia noastră internă, căutând să încurajeze companiile să-și îmbunătățească foaia de parcurs de tranziție într-un mod care ar putea permite progresiv o nouă eligibilitate. </w:t>
            </w:r>
            <w:r>
              <w:rPr>
                <w:rFonts w:eastAsia="Calibri" w:cs="Arial"/>
                <w:color w:val="auto"/>
                <w:sz w:val="14"/>
                <w:szCs w:val="14"/>
                <w:lang w:eastAsia="en-US"/>
              </w:rPr>
              <w:t>Pentru 2025, Grupul intenționează să colaboreze cu 4 "Laggards de tranziție" din industria de petrol și gaze.</w:t>
            </w:r>
          </w:p>
          <w:p w14:paraId="7F8A36B6" w14:textId="18B3589A" w:rsidR="003C50A4" w:rsidRPr="0087494E" w:rsidRDefault="003C50A4" w:rsidP="00DA4C02">
            <w:pPr>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 xml:space="preserve">Pentru informații detaliate, consultați </w:t>
            </w:r>
            <w:r>
              <w:rPr>
                <w:rFonts w:eastAsia="Calibri" w:cs="Arial"/>
                <w:color w:val="auto"/>
                <w:sz w:val="14"/>
                <w:szCs w:val="14"/>
                <w:lang w:eastAsia="en-US"/>
              </w:rPr>
              <w:t xml:space="preserve">cel 2024 Raportul privind proprietatea activă a grupului </w:t>
            </w:r>
            <w:r>
              <w:rPr>
                <w:rFonts w:eastAsia="Calibri" w:cs="Arial"/>
                <w:color w:val="auto"/>
                <w:sz w:val="14"/>
                <w:szCs w:val="14"/>
                <w:lang w:eastAsia="en-US"/>
              </w:rPr>
              <w:lastRenderedPageBreak/>
              <w:t>disponibil pe ASite-ul ssicurazioni Generali</w:t>
            </w:r>
            <w:r w:rsidRPr="00174138">
              <w:rPr>
                <w:rFonts w:eastAsia="Calibri" w:cs="Arial"/>
                <w:color w:val="auto"/>
                <w:sz w:val="14"/>
                <w:szCs w:val="14"/>
                <w:lang w:eastAsia="en-US"/>
              </w:rPr>
              <w:t xml:space="preserve">.  </w:t>
            </w:r>
          </w:p>
          <w:bookmarkEnd w:id="14"/>
          <w:p w14:paraId="2663DD77" w14:textId="7E8E3ED3" w:rsidR="003C50A4" w:rsidRPr="0087494E" w:rsidRDefault="003C50A4" w:rsidP="00B22082">
            <w:pPr>
              <w:spacing w:before="0" w:after="60" w:line="240" w:lineRule="auto"/>
              <w:contextualSpacing w:val="0"/>
              <w:jc w:val="both"/>
              <w:rPr>
                <w:rFonts w:cs="Arial"/>
                <w:color w:val="auto"/>
                <w:sz w:val="14"/>
                <w:szCs w:val="14"/>
              </w:rPr>
            </w:pPr>
          </w:p>
          <w:p w14:paraId="429422F1" w14:textId="6033F392" w:rsidR="003C50A4" w:rsidRPr="0087494E" w:rsidRDefault="003C50A4" w:rsidP="00DA4C02">
            <w:pPr>
              <w:spacing w:before="0" w:after="60" w:line="240" w:lineRule="auto"/>
              <w:jc w:val="both"/>
              <w:rPr>
                <w:rFonts w:cs="Arial"/>
                <w:color w:val="auto"/>
                <w:sz w:val="14"/>
                <w:szCs w:val="14"/>
              </w:rPr>
            </w:pPr>
          </w:p>
        </w:tc>
      </w:tr>
      <w:tr w:rsidR="003C50A4" w:rsidRPr="00174138" w14:paraId="4EC8324D" w14:textId="77777777" w:rsidTr="00B22082">
        <w:trPr>
          <w:trHeight w:val="340"/>
        </w:trPr>
        <w:tc>
          <w:tcPr>
            <w:tcW w:w="881" w:type="dxa"/>
            <w:vMerge/>
            <w:tcBorders>
              <w:left w:val="single" w:sz="4" w:space="0" w:color="auto"/>
              <w:right w:val="single" w:sz="4" w:space="0" w:color="auto"/>
            </w:tcBorders>
            <w:vAlign w:val="center"/>
          </w:tcPr>
          <w:p w14:paraId="4314CE32"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10373B91" w14:textId="77777777" w:rsidR="003C50A4" w:rsidRPr="0087494E" w:rsidRDefault="003C50A4" w:rsidP="00DA4C02">
            <w:pPr>
              <w:widowControl/>
              <w:numPr>
                <w:ilvl w:val="0"/>
                <w:numId w:val="9"/>
              </w:numPr>
              <w:suppressAutoHyphens w:val="0"/>
              <w:spacing w:before="0" w:after="0" w:line="240" w:lineRule="auto"/>
              <w:ind w:left="0" w:firstLine="0"/>
              <w:contextualSpacing w:val="0"/>
              <w:rPr>
                <w:rFonts w:eastAsia="Calibri" w:cs="Arial"/>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31F4F6A1"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Emisii de gaze cu efect de seră din domeniul de aplicare 2</w:t>
            </w:r>
          </w:p>
        </w:tc>
        <w:tc>
          <w:tcPr>
            <w:tcW w:w="1179" w:type="dxa"/>
            <w:tcBorders>
              <w:top w:val="single" w:sz="4" w:space="0" w:color="auto"/>
              <w:left w:val="single" w:sz="4" w:space="0" w:color="auto"/>
              <w:bottom w:val="single" w:sz="4" w:space="0" w:color="auto"/>
              <w:right w:val="single" w:sz="4" w:space="0" w:color="auto"/>
            </w:tcBorders>
          </w:tcPr>
          <w:p w14:paraId="1DA646DF" w14:textId="48F11C14" w:rsidR="003C50A4" w:rsidRPr="0087494E"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180" w:type="dxa"/>
            <w:tcBorders>
              <w:top w:val="single" w:sz="4" w:space="0" w:color="auto"/>
              <w:left w:val="single" w:sz="4" w:space="0" w:color="auto"/>
              <w:bottom w:val="single" w:sz="4" w:space="0" w:color="auto"/>
              <w:right w:val="single" w:sz="4" w:space="0" w:color="auto"/>
            </w:tcBorders>
          </w:tcPr>
          <w:p w14:paraId="0EF99E53" w14:textId="4B987192" w:rsidR="003C50A4" w:rsidRPr="0087494E"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916" w:type="dxa"/>
            <w:vMerge/>
            <w:tcBorders>
              <w:left w:val="single" w:sz="4" w:space="0" w:color="auto"/>
              <w:right w:val="single" w:sz="4" w:space="0" w:color="auto"/>
            </w:tcBorders>
          </w:tcPr>
          <w:p w14:paraId="193B8A4E" w14:textId="1A72B873" w:rsidR="003C50A4" w:rsidRPr="0087494E" w:rsidRDefault="003C50A4" w:rsidP="00DA4C02">
            <w:pPr>
              <w:suppressAutoHyphens w:val="0"/>
              <w:spacing w:before="0" w:line="240" w:lineRule="auto"/>
              <w:jc w:val="both"/>
              <w:rPr>
                <w:rFonts w:eastAsia="Calibri" w:cs="Arial"/>
                <w:color w:val="auto"/>
                <w:sz w:val="14"/>
                <w:szCs w:val="14"/>
                <w:lang w:eastAsia="en-US"/>
              </w:rPr>
            </w:pPr>
          </w:p>
        </w:tc>
        <w:tc>
          <w:tcPr>
            <w:tcW w:w="5670" w:type="dxa"/>
            <w:vMerge/>
            <w:tcBorders>
              <w:left w:val="single" w:sz="4" w:space="0" w:color="auto"/>
              <w:right w:val="single" w:sz="4" w:space="0" w:color="auto"/>
            </w:tcBorders>
          </w:tcPr>
          <w:p w14:paraId="1C359600" w14:textId="6CD41078" w:rsidR="003C50A4" w:rsidRPr="0087494E" w:rsidRDefault="003C50A4" w:rsidP="00DA4C02">
            <w:pPr>
              <w:spacing w:before="0" w:after="60" w:line="240" w:lineRule="auto"/>
              <w:jc w:val="both"/>
              <w:rPr>
                <w:rFonts w:eastAsia="Calibri" w:cs="Arial"/>
                <w:noProof/>
                <w:color w:val="auto"/>
                <w:sz w:val="14"/>
                <w:szCs w:val="14"/>
                <w:lang w:eastAsia="en-US"/>
              </w:rPr>
            </w:pPr>
          </w:p>
        </w:tc>
      </w:tr>
      <w:tr w:rsidR="003C50A4" w:rsidRPr="00174138" w14:paraId="6918B1ED" w14:textId="77777777" w:rsidTr="00B22082">
        <w:trPr>
          <w:trHeight w:val="340"/>
        </w:trPr>
        <w:tc>
          <w:tcPr>
            <w:tcW w:w="881" w:type="dxa"/>
            <w:vMerge/>
            <w:tcBorders>
              <w:left w:val="single" w:sz="4" w:space="0" w:color="auto"/>
              <w:right w:val="single" w:sz="4" w:space="0" w:color="auto"/>
            </w:tcBorders>
            <w:vAlign w:val="center"/>
          </w:tcPr>
          <w:p w14:paraId="713E8591"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06970477" w14:textId="77777777" w:rsidR="003C50A4" w:rsidRPr="0087494E" w:rsidRDefault="003C50A4" w:rsidP="00DA4C02">
            <w:pPr>
              <w:widowControl/>
              <w:numPr>
                <w:ilvl w:val="0"/>
                <w:numId w:val="9"/>
              </w:numPr>
              <w:suppressAutoHyphens w:val="0"/>
              <w:spacing w:before="0" w:after="0" w:line="240" w:lineRule="auto"/>
              <w:ind w:left="0" w:firstLine="0"/>
              <w:contextualSpacing w:val="0"/>
              <w:rPr>
                <w:rFonts w:eastAsia="Calibri" w:cs="Arial"/>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6A92F536"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Emisii de gaze cu efect de seră din domeniul de aplicare 3</w:t>
            </w:r>
          </w:p>
        </w:tc>
        <w:tc>
          <w:tcPr>
            <w:tcW w:w="1179" w:type="dxa"/>
            <w:tcBorders>
              <w:top w:val="single" w:sz="4" w:space="0" w:color="auto"/>
              <w:left w:val="single" w:sz="4" w:space="0" w:color="auto"/>
              <w:bottom w:val="single" w:sz="4" w:space="0" w:color="auto"/>
              <w:right w:val="single" w:sz="4" w:space="0" w:color="auto"/>
            </w:tcBorders>
          </w:tcPr>
          <w:p w14:paraId="22D60A5C" w14:textId="64CF0E78" w:rsidR="003C50A4" w:rsidRPr="0087494E"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180" w:type="dxa"/>
            <w:tcBorders>
              <w:top w:val="single" w:sz="4" w:space="0" w:color="auto"/>
              <w:left w:val="single" w:sz="4" w:space="0" w:color="auto"/>
              <w:bottom w:val="single" w:sz="4" w:space="0" w:color="auto"/>
              <w:right w:val="single" w:sz="4" w:space="0" w:color="auto"/>
            </w:tcBorders>
          </w:tcPr>
          <w:p w14:paraId="08583AED" w14:textId="527070ED" w:rsidR="003C50A4" w:rsidRPr="0087494E"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916" w:type="dxa"/>
            <w:vMerge/>
            <w:tcBorders>
              <w:left w:val="single" w:sz="4" w:space="0" w:color="auto"/>
              <w:bottom w:val="single" w:sz="4" w:space="0" w:color="auto"/>
              <w:right w:val="single" w:sz="4" w:space="0" w:color="auto"/>
            </w:tcBorders>
          </w:tcPr>
          <w:p w14:paraId="3BD93EDC" w14:textId="25914C52" w:rsidR="003C50A4" w:rsidRPr="0087494E" w:rsidRDefault="003C50A4" w:rsidP="00DA4C02">
            <w:pPr>
              <w:suppressAutoHyphens w:val="0"/>
              <w:spacing w:before="0" w:line="240" w:lineRule="auto"/>
              <w:jc w:val="both"/>
              <w:rPr>
                <w:rFonts w:eastAsia="Calibri" w:cs="Arial"/>
                <w:color w:val="auto"/>
                <w:sz w:val="14"/>
                <w:szCs w:val="14"/>
                <w:lang w:eastAsia="en-US"/>
              </w:rPr>
            </w:pPr>
          </w:p>
        </w:tc>
        <w:tc>
          <w:tcPr>
            <w:tcW w:w="5670" w:type="dxa"/>
            <w:vMerge/>
            <w:tcBorders>
              <w:left w:val="single" w:sz="4" w:space="0" w:color="auto"/>
              <w:right w:val="single" w:sz="4" w:space="0" w:color="auto"/>
            </w:tcBorders>
          </w:tcPr>
          <w:p w14:paraId="184D5092" w14:textId="2759304E" w:rsidR="003C50A4" w:rsidRPr="0087494E" w:rsidRDefault="003C50A4" w:rsidP="00DA4C02">
            <w:pPr>
              <w:spacing w:before="0" w:after="60" w:line="240" w:lineRule="auto"/>
              <w:jc w:val="both"/>
              <w:rPr>
                <w:rFonts w:eastAsia="Calibri" w:cs="Arial"/>
                <w:noProof/>
                <w:color w:val="auto"/>
                <w:sz w:val="14"/>
                <w:szCs w:val="14"/>
                <w:lang w:eastAsia="en-US"/>
              </w:rPr>
            </w:pPr>
          </w:p>
        </w:tc>
      </w:tr>
      <w:tr w:rsidR="003C50A4" w:rsidRPr="00E3260F" w14:paraId="0ED320A0" w14:textId="77777777" w:rsidTr="00B22082">
        <w:tc>
          <w:tcPr>
            <w:tcW w:w="881" w:type="dxa"/>
            <w:vMerge/>
            <w:tcBorders>
              <w:left w:val="single" w:sz="4" w:space="0" w:color="auto"/>
              <w:right w:val="single" w:sz="4" w:space="0" w:color="auto"/>
            </w:tcBorders>
            <w:vAlign w:val="center"/>
          </w:tcPr>
          <w:p w14:paraId="736EB679"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bottom w:val="single" w:sz="4" w:space="0" w:color="auto"/>
              <w:right w:val="single" w:sz="4" w:space="0" w:color="auto"/>
            </w:tcBorders>
            <w:vAlign w:val="center"/>
          </w:tcPr>
          <w:p w14:paraId="795B36F1" w14:textId="77777777" w:rsidR="003C50A4" w:rsidRPr="0087494E" w:rsidRDefault="003C50A4" w:rsidP="00DA4C02">
            <w:pPr>
              <w:widowControl/>
              <w:numPr>
                <w:ilvl w:val="0"/>
                <w:numId w:val="9"/>
              </w:numPr>
              <w:suppressAutoHyphens w:val="0"/>
              <w:spacing w:before="0" w:after="0" w:line="240" w:lineRule="auto"/>
              <w:ind w:left="0" w:firstLine="0"/>
              <w:contextualSpacing w:val="0"/>
              <w:rPr>
                <w:rFonts w:eastAsia="Calibri" w:cs="Arial"/>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3B57A679" w14:textId="77777777"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Emisii totale de GES</w:t>
            </w:r>
          </w:p>
        </w:tc>
        <w:tc>
          <w:tcPr>
            <w:tcW w:w="1179" w:type="dxa"/>
            <w:tcBorders>
              <w:top w:val="single" w:sz="4" w:space="0" w:color="auto"/>
              <w:left w:val="single" w:sz="4" w:space="0" w:color="auto"/>
              <w:bottom w:val="single" w:sz="4" w:space="0" w:color="auto"/>
              <w:right w:val="single" w:sz="4" w:space="0" w:color="auto"/>
            </w:tcBorders>
          </w:tcPr>
          <w:p w14:paraId="2C9A5197" w14:textId="766AFE50" w:rsidR="003C50A4" w:rsidRPr="00174138"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3738DB55" w14:textId="7917E45F" w:rsidR="003C50A4" w:rsidRPr="00174138" w:rsidDel="001F2FF9"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916" w:type="dxa"/>
            <w:tcBorders>
              <w:top w:val="single" w:sz="4" w:space="0" w:color="auto"/>
              <w:left w:val="single" w:sz="4" w:space="0" w:color="auto"/>
              <w:bottom w:val="single" w:sz="4" w:space="0" w:color="auto"/>
              <w:right w:val="single" w:sz="4" w:space="0" w:color="auto"/>
            </w:tcBorders>
          </w:tcPr>
          <w:p w14:paraId="1B431EAD" w14:textId="5C01891F" w:rsidR="003C50A4" w:rsidRPr="0087494E" w:rsidRDefault="003C50A4" w:rsidP="00DA4C02">
            <w:pPr>
              <w:suppressAutoHyphens w:val="0"/>
              <w:spacing w:before="0" w:line="240" w:lineRule="auto"/>
              <w:jc w:val="both"/>
              <w:rPr>
                <w:rFonts w:eastAsia="Calibri" w:cs="Arial"/>
                <w:color w:val="auto"/>
                <w:sz w:val="14"/>
                <w:szCs w:val="14"/>
                <w:lang w:eastAsia="en-US"/>
              </w:rPr>
            </w:pPr>
            <w:r w:rsidRPr="00174138">
              <w:rPr>
                <w:rFonts w:eastAsia="Calibri" w:cs="Arial"/>
                <w:color w:val="auto"/>
                <w:sz w:val="14"/>
                <w:szCs w:val="14"/>
                <w:lang w:eastAsia="en-US"/>
              </w:rPr>
              <w:t>Emisiile anuale totale de GES Scope 1, Scope 2 și Scope 3 estimate asociate cu valoarea de piață a portofoliului. Emisiile de carbon ale companiilor sunt repartizate între toate acțiunile și obligațiunile în circulație (pe baza celei mai recente valori a întreprinderii disponibile, inclusiv numerarul).</w:t>
            </w:r>
          </w:p>
        </w:tc>
        <w:tc>
          <w:tcPr>
            <w:tcW w:w="5670" w:type="dxa"/>
            <w:vMerge/>
            <w:tcBorders>
              <w:left w:val="single" w:sz="4" w:space="0" w:color="auto"/>
              <w:right w:val="single" w:sz="4" w:space="0" w:color="auto"/>
            </w:tcBorders>
          </w:tcPr>
          <w:p w14:paraId="78FCA1AB" w14:textId="57A3042E" w:rsidR="003C50A4" w:rsidRPr="0087494E" w:rsidRDefault="003C50A4" w:rsidP="00DA4C02">
            <w:pPr>
              <w:spacing w:before="0" w:after="60" w:line="240" w:lineRule="auto"/>
              <w:jc w:val="both"/>
              <w:rPr>
                <w:rFonts w:eastAsia="Calibri" w:cs="Arial"/>
                <w:noProof/>
                <w:color w:val="auto"/>
                <w:sz w:val="14"/>
                <w:szCs w:val="14"/>
                <w:lang w:eastAsia="en-US"/>
              </w:rPr>
            </w:pPr>
          </w:p>
        </w:tc>
      </w:tr>
      <w:tr w:rsidR="003C50A4" w:rsidRPr="00E3260F" w14:paraId="09B6D3B2" w14:textId="77777777" w:rsidTr="00B22082">
        <w:tc>
          <w:tcPr>
            <w:tcW w:w="881" w:type="dxa"/>
            <w:vMerge/>
            <w:tcBorders>
              <w:left w:val="single" w:sz="4" w:space="0" w:color="auto"/>
              <w:right w:val="single" w:sz="4" w:space="0" w:color="auto"/>
            </w:tcBorders>
            <w:vAlign w:val="center"/>
            <w:hideMark/>
          </w:tcPr>
          <w:p w14:paraId="54974535"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4A46ED1A" w14:textId="757F5DFC" w:rsidR="003C50A4" w:rsidRPr="00174138" w:rsidRDefault="003C50A4" w:rsidP="00DA4C02">
            <w:pPr>
              <w:widowControl/>
              <w:suppressAutoHyphens w:val="0"/>
              <w:spacing w:before="0" w:after="0" w:line="240" w:lineRule="auto"/>
              <w:contextualSpacing w:val="0"/>
              <w:rPr>
                <w:rFonts w:eastAsia="Calibri" w:cs="Arial"/>
                <w:b/>
                <w:noProof/>
                <w:color w:val="auto"/>
                <w:sz w:val="14"/>
                <w:szCs w:val="14"/>
                <w:lang w:val="en-GB" w:eastAsia="en-US"/>
              </w:rPr>
            </w:pPr>
            <w:r w:rsidRPr="00174138">
              <w:rPr>
                <w:rFonts w:eastAsia="Calibri" w:cs="Arial"/>
                <w:noProof/>
                <w:color w:val="auto"/>
                <w:sz w:val="14"/>
                <w:szCs w:val="14"/>
                <w:lang w:eastAsia="en-US"/>
              </w:rPr>
              <w:t>2.Amprenta de carbon</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E02D909" w14:textId="77777777"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Amprenta de carbon</w:t>
            </w:r>
          </w:p>
        </w:tc>
        <w:tc>
          <w:tcPr>
            <w:tcW w:w="1179" w:type="dxa"/>
            <w:tcBorders>
              <w:top w:val="single" w:sz="4" w:space="0" w:color="auto"/>
              <w:left w:val="single" w:sz="4" w:space="0" w:color="auto"/>
              <w:bottom w:val="single" w:sz="4" w:space="0" w:color="auto"/>
              <w:right w:val="single" w:sz="4" w:space="0" w:color="auto"/>
            </w:tcBorders>
          </w:tcPr>
          <w:p w14:paraId="6E4CF8E5" w14:textId="01AB3269"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19F56619" w14:textId="4F256F98"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916" w:type="dxa"/>
            <w:tcBorders>
              <w:top w:val="single" w:sz="4" w:space="0" w:color="auto"/>
              <w:left w:val="single" w:sz="4" w:space="0" w:color="auto"/>
              <w:bottom w:val="single" w:sz="4" w:space="0" w:color="auto"/>
              <w:right w:val="single" w:sz="4" w:space="0" w:color="auto"/>
            </w:tcBorders>
          </w:tcPr>
          <w:p w14:paraId="765A9F20" w14:textId="09C922CB" w:rsidR="003C50A4" w:rsidRPr="0087494E" w:rsidRDefault="003C50A4" w:rsidP="00DA4C02">
            <w:pPr>
              <w:suppressAutoHyphens w:val="0"/>
              <w:spacing w:before="0" w:line="240" w:lineRule="auto"/>
              <w:jc w:val="both"/>
              <w:rPr>
                <w:rFonts w:eastAsia="Calibri" w:cs="Arial"/>
                <w:color w:val="auto"/>
                <w:sz w:val="14"/>
                <w:szCs w:val="14"/>
                <w:lang w:eastAsia="en-US"/>
              </w:rPr>
            </w:pPr>
            <w:r w:rsidRPr="00174138">
              <w:rPr>
                <w:rFonts w:eastAsia="Calibri" w:cs="Arial"/>
                <w:color w:val="auto"/>
                <w:sz w:val="14"/>
                <w:szCs w:val="14"/>
                <w:lang w:eastAsia="en-US"/>
              </w:rPr>
              <w:t xml:space="preserve">Emisiile anuale totale de GES Scope 1, Scope 2 și Scope 3 estimate asociate cu 1 milion EUR investit în portofoliu. Emisiile de carbon ale companiilor sunt repartizate </w:t>
            </w:r>
            <w:r w:rsidRPr="00174138">
              <w:rPr>
                <w:rFonts w:eastAsia="Calibri" w:cs="Arial"/>
                <w:color w:val="auto"/>
                <w:sz w:val="14"/>
                <w:szCs w:val="14"/>
                <w:lang w:eastAsia="en-US"/>
              </w:rPr>
              <w:lastRenderedPageBreak/>
              <w:t>între toate acțiunile și obligațiunile în circulație (pe baza celei mai recente valori a întreprinderii disponibile, inclusiv numerarul).</w:t>
            </w:r>
          </w:p>
        </w:tc>
        <w:tc>
          <w:tcPr>
            <w:tcW w:w="5670" w:type="dxa"/>
            <w:vMerge/>
            <w:tcBorders>
              <w:left w:val="single" w:sz="4" w:space="0" w:color="auto"/>
              <w:right w:val="single" w:sz="4" w:space="0" w:color="auto"/>
            </w:tcBorders>
          </w:tcPr>
          <w:p w14:paraId="0D978ADC" w14:textId="51B5DE27" w:rsidR="003C50A4" w:rsidRPr="0087494E" w:rsidRDefault="003C50A4" w:rsidP="00DA4C02">
            <w:pPr>
              <w:spacing w:before="0" w:after="60" w:line="240" w:lineRule="auto"/>
              <w:jc w:val="both"/>
              <w:rPr>
                <w:rFonts w:eastAsia="Calibri" w:cs="Arial"/>
                <w:noProof/>
                <w:color w:val="auto"/>
                <w:sz w:val="14"/>
                <w:szCs w:val="14"/>
                <w:lang w:eastAsia="en-US"/>
              </w:rPr>
            </w:pPr>
          </w:p>
        </w:tc>
      </w:tr>
      <w:tr w:rsidR="003C50A4" w:rsidRPr="00E3260F" w14:paraId="0B8DB8CC" w14:textId="77777777" w:rsidTr="00B22082">
        <w:tc>
          <w:tcPr>
            <w:tcW w:w="881" w:type="dxa"/>
            <w:vMerge/>
            <w:tcBorders>
              <w:left w:val="single" w:sz="4" w:space="0" w:color="auto"/>
              <w:right w:val="single" w:sz="4" w:space="0" w:color="auto"/>
            </w:tcBorders>
            <w:vAlign w:val="center"/>
            <w:hideMark/>
          </w:tcPr>
          <w:p w14:paraId="45E408DD"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5834DEC6" w14:textId="31F04B04"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3.Intensitatea GES a societăților în care s-a investit</w:t>
            </w:r>
          </w:p>
        </w:tc>
        <w:tc>
          <w:tcPr>
            <w:tcW w:w="2608" w:type="dxa"/>
            <w:tcBorders>
              <w:top w:val="single" w:sz="4" w:space="0" w:color="auto"/>
              <w:left w:val="single" w:sz="4" w:space="0" w:color="auto"/>
              <w:bottom w:val="single" w:sz="4" w:space="0" w:color="auto"/>
              <w:right w:val="single" w:sz="4" w:space="0" w:color="auto"/>
            </w:tcBorders>
            <w:vAlign w:val="center"/>
            <w:hideMark/>
          </w:tcPr>
          <w:p w14:paraId="7F533F9F" w14:textId="77777777"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87494E">
              <w:rPr>
                <w:rFonts w:eastAsia="Calibri" w:cs="Arial"/>
                <w:noProof/>
                <w:color w:val="auto"/>
                <w:sz w:val="14"/>
                <w:szCs w:val="14"/>
                <w:lang w:val="en-US" w:eastAsia="en-US"/>
              </w:rPr>
              <w:t>Intensitatea GES a companiilor în care s-a investit</w:t>
            </w:r>
          </w:p>
        </w:tc>
        <w:tc>
          <w:tcPr>
            <w:tcW w:w="1179" w:type="dxa"/>
            <w:tcBorders>
              <w:top w:val="single" w:sz="4" w:space="0" w:color="auto"/>
              <w:left w:val="single" w:sz="4" w:space="0" w:color="auto"/>
              <w:bottom w:val="single" w:sz="4" w:space="0" w:color="auto"/>
              <w:right w:val="single" w:sz="4" w:space="0" w:color="auto"/>
            </w:tcBorders>
          </w:tcPr>
          <w:p w14:paraId="37BCB3F8" w14:textId="1FB996A0"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5D50F8A6" w14:textId="58941CC0"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916" w:type="dxa"/>
            <w:tcBorders>
              <w:top w:val="single" w:sz="4" w:space="0" w:color="auto"/>
              <w:left w:val="single" w:sz="4" w:space="0" w:color="auto"/>
              <w:bottom w:val="single" w:sz="4" w:space="0" w:color="auto"/>
              <w:right w:val="single" w:sz="4" w:space="0" w:color="auto"/>
            </w:tcBorders>
          </w:tcPr>
          <w:p w14:paraId="065FE40E" w14:textId="6FD33D71" w:rsidR="003C50A4" w:rsidRPr="0087494E" w:rsidRDefault="003C50A4" w:rsidP="00DA4C02">
            <w:pPr>
              <w:suppressAutoHyphens w:val="0"/>
              <w:spacing w:before="0" w:line="240" w:lineRule="auto"/>
              <w:jc w:val="both"/>
              <w:rPr>
                <w:rFonts w:eastAsia="Calibri" w:cs="Arial"/>
                <w:color w:val="auto"/>
                <w:sz w:val="14"/>
                <w:szCs w:val="14"/>
                <w:lang w:eastAsia="en-US"/>
              </w:rPr>
            </w:pPr>
            <w:r w:rsidRPr="00174138">
              <w:rPr>
                <w:rFonts w:eastAsia="Calibri" w:cs="Arial"/>
                <w:color w:val="auto"/>
                <w:sz w:val="14"/>
                <w:szCs w:val="14"/>
                <w:lang w:eastAsia="en-US"/>
              </w:rPr>
              <w:t>Media ponderată a portofoliului privind intensitatea gazelor cu efect de seră ale emitenților deținetori (Scope 1, Scope 2 și emisii estimate de GES Scope 3/venituri în milioane EUR).</w:t>
            </w:r>
          </w:p>
        </w:tc>
        <w:tc>
          <w:tcPr>
            <w:tcW w:w="5670" w:type="dxa"/>
            <w:vMerge/>
            <w:tcBorders>
              <w:left w:val="single" w:sz="4" w:space="0" w:color="auto"/>
              <w:right w:val="single" w:sz="4" w:space="0" w:color="auto"/>
            </w:tcBorders>
          </w:tcPr>
          <w:p w14:paraId="27BCA835" w14:textId="295AE02A" w:rsidR="003C50A4" w:rsidRPr="0087494E" w:rsidRDefault="003C50A4" w:rsidP="00DA4C02">
            <w:pPr>
              <w:spacing w:before="0" w:after="60" w:line="240" w:lineRule="auto"/>
              <w:jc w:val="both"/>
              <w:rPr>
                <w:rFonts w:eastAsia="Calibri" w:cs="Arial"/>
                <w:noProof/>
                <w:color w:val="auto"/>
                <w:sz w:val="14"/>
                <w:szCs w:val="14"/>
                <w:lang w:eastAsia="en-US"/>
              </w:rPr>
            </w:pPr>
          </w:p>
        </w:tc>
      </w:tr>
      <w:tr w:rsidR="003C50A4" w:rsidRPr="00B65084" w14:paraId="4051B37B" w14:textId="77777777" w:rsidTr="00E05207">
        <w:trPr>
          <w:trHeight w:val="1254"/>
        </w:trPr>
        <w:tc>
          <w:tcPr>
            <w:tcW w:w="881" w:type="dxa"/>
            <w:vMerge/>
            <w:tcBorders>
              <w:left w:val="single" w:sz="4" w:space="0" w:color="auto"/>
              <w:right w:val="single" w:sz="4" w:space="0" w:color="auto"/>
            </w:tcBorders>
            <w:vAlign w:val="center"/>
            <w:hideMark/>
          </w:tcPr>
          <w:p w14:paraId="56F71EC8"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6164D318" w14:textId="6F388F3B"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bCs/>
                <w:noProof/>
                <w:color w:val="auto"/>
                <w:sz w:val="14"/>
                <w:szCs w:val="14"/>
                <w:lang w:eastAsia="en-US"/>
              </w:rPr>
              <w:t>4.Expunerea la societăți care își desfășoară activitatea în sectorul combustibililor fosili</w:t>
            </w:r>
          </w:p>
        </w:tc>
        <w:tc>
          <w:tcPr>
            <w:tcW w:w="2608" w:type="dxa"/>
            <w:tcBorders>
              <w:top w:val="single" w:sz="4" w:space="0" w:color="auto"/>
              <w:left w:val="single" w:sz="4" w:space="0" w:color="auto"/>
              <w:bottom w:val="single" w:sz="4" w:space="0" w:color="auto"/>
              <w:right w:val="single" w:sz="4" w:space="0" w:color="auto"/>
            </w:tcBorders>
            <w:vAlign w:val="center"/>
            <w:hideMark/>
          </w:tcPr>
          <w:p w14:paraId="740323E5" w14:textId="67DBADC9"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Ponderea investițiilor în companiile active în sectorul combustibililor fosili</w:t>
            </w:r>
          </w:p>
        </w:tc>
        <w:tc>
          <w:tcPr>
            <w:tcW w:w="1179" w:type="dxa"/>
            <w:tcBorders>
              <w:top w:val="single" w:sz="4" w:space="0" w:color="auto"/>
              <w:left w:val="single" w:sz="4" w:space="0" w:color="auto"/>
              <w:bottom w:val="single" w:sz="4" w:space="0" w:color="auto"/>
              <w:right w:val="single" w:sz="4" w:space="0" w:color="auto"/>
            </w:tcBorders>
          </w:tcPr>
          <w:p w14:paraId="378502C6" w14:textId="21A551E5"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04C84611" w14:textId="6BB9920C" w:rsidR="003C50A4" w:rsidRPr="00174138" w:rsidRDefault="003C50A4" w:rsidP="00DA4C02">
            <w:pPr>
              <w:widowControl/>
              <w:suppressAutoHyphens w:val="0"/>
              <w:spacing w:before="0" w:after="0" w:line="240" w:lineRule="auto"/>
              <w:contextualSpacing w:val="0"/>
              <w:jc w:val="both"/>
              <w:rPr>
                <w:rFonts w:eastAsia="Calibri" w:cs="Arial"/>
                <w:noProof/>
                <w:color w:val="auto"/>
                <w:sz w:val="12"/>
                <w:szCs w:val="12"/>
                <w:lang w:val="en-GB" w:eastAsia="en-US"/>
              </w:rPr>
            </w:pPr>
          </w:p>
        </w:tc>
        <w:tc>
          <w:tcPr>
            <w:tcW w:w="1916" w:type="dxa"/>
            <w:tcBorders>
              <w:top w:val="single" w:sz="4" w:space="0" w:color="auto"/>
              <w:left w:val="single" w:sz="4" w:space="0" w:color="auto"/>
              <w:bottom w:val="single" w:sz="4" w:space="0" w:color="auto"/>
              <w:right w:val="single" w:sz="4" w:space="0" w:color="auto"/>
            </w:tcBorders>
          </w:tcPr>
          <w:p w14:paraId="1234AF61" w14:textId="2A03CBE9" w:rsidR="003C50A4" w:rsidRPr="00174138" w:rsidRDefault="003C50A4" w:rsidP="00DA4C02">
            <w:pPr>
              <w:suppressAutoHyphens w:val="0"/>
              <w:spacing w:before="0" w:line="240" w:lineRule="auto"/>
              <w:jc w:val="both"/>
              <w:rPr>
                <w:rFonts w:eastAsia="Calibri" w:cs="Arial"/>
                <w:color w:val="auto"/>
                <w:sz w:val="14"/>
                <w:szCs w:val="14"/>
                <w:lang w:val="en-GB" w:eastAsia="en-US"/>
              </w:rPr>
            </w:pPr>
            <w:proofErr w:type="spellStart"/>
            <w:r w:rsidRPr="0087494E">
              <w:rPr>
                <w:rFonts w:eastAsia="Calibri" w:cs="Arial"/>
                <w:color w:val="auto"/>
                <w:sz w:val="14"/>
                <w:szCs w:val="14"/>
                <w:lang w:val="en-GB" w:eastAsia="en-US"/>
              </w:rPr>
              <w:t>Procentul</w:t>
            </w:r>
            <w:proofErr w:type="spellEnd"/>
            <w:r w:rsidRPr="0087494E">
              <w:rPr>
                <w:rFonts w:eastAsia="Calibri" w:cs="Arial"/>
                <w:color w:val="auto"/>
                <w:sz w:val="14"/>
                <w:szCs w:val="14"/>
                <w:lang w:val="en-GB" w:eastAsia="en-US"/>
              </w:rPr>
              <w:t xml:space="preserve"> din </w:t>
            </w:r>
            <w:proofErr w:type="spellStart"/>
            <w:r w:rsidRPr="0087494E">
              <w:rPr>
                <w:rFonts w:eastAsia="Calibri" w:cs="Arial"/>
                <w:color w:val="auto"/>
                <w:sz w:val="14"/>
                <w:szCs w:val="14"/>
                <w:lang w:val="en-GB" w:eastAsia="en-US"/>
              </w:rPr>
              <w:t>valoarea</w:t>
            </w:r>
            <w:proofErr w:type="spellEnd"/>
            <w:r w:rsidRPr="0087494E">
              <w:rPr>
                <w:rFonts w:eastAsia="Calibri" w:cs="Arial"/>
                <w:color w:val="auto"/>
                <w:sz w:val="14"/>
                <w:szCs w:val="14"/>
                <w:lang w:val="en-GB" w:eastAsia="en-US"/>
              </w:rPr>
              <w:t xml:space="preserve"> de </w:t>
            </w:r>
            <w:proofErr w:type="spellStart"/>
            <w:r w:rsidRPr="0087494E">
              <w:rPr>
                <w:rFonts w:eastAsia="Calibri" w:cs="Arial"/>
                <w:color w:val="auto"/>
                <w:sz w:val="14"/>
                <w:szCs w:val="14"/>
                <w:lang w:val="en-GB" w:eastAsia="en-US"/>
              </w:rPr>
              <w:t>piață</w:t>
            </w:r>
            <w:proofErr w:type="spellEnd"/>
            <w:r w:rsidRPr="0087494E">
              <w:rPr>
                <w:rFonts w:eastAsia="Calibri" w:cs="Arial"/>
                <w:color w:val="auto"/>
                <w:sz w:val="14"/>
                <w:szCs w:val="14"/>
                <w:lang w:val="en-GB" w:eastAsia="en-US"/>
              </w:rPr>
              <w:t xml:space="preserve"> a </w:t>
            </w:r>
            <w:proofErr w:type="spellStart"/>
            <w:r w:rsidRPr="0087494E">
              <w:rPr>
                <w:rFonts w:eastAsia="Calibri" w:cs="Arial"/>
                <w:color w:val="auto"/>
                <w:sz w:val="14"/>
                <w:szCs w:val="14"/>
                <w:lang w:val="en-GB" w:eastAsia="en-US"/>
              </w:rPr>
              <w:t>portofoliului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expus</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emitenților</w:t>
            </w:r>
            <w:proofErr w:type="spellEnd"/>
            <w:r w:rsidRPr="0087494E">
              <w:rPr>
                <w:rFonts w:eastAsia="Calibri" w:cs="Arial"/>
                <w:color w:val="auto"/>
                <w:sz w:val="14"/>
                <w:szCs w:val="14"/>
                <w:lang w:val="en-GB" w:eastAsia="en-US"/>
              </w:rPr>
              <w:t xml:space="preserve"> cu </w:t>
            </w:r>
            <w:proofErr w:type="spellStart"/>
            <w:r w:rsidRPr="0087494E">
              <w:rPr>
                <w:rFonts w:eastAsia="Calibri" w:cs="Arial"/>
                <w:color w:val="auto"/>
                <w:sz w:val="14"/>
                <w:szCs w:val="14"/>
                <w:lang w:val="en-GB" w:eastAsia="en-US"/>
              </w:rPr>
              <w:t>activități</w:t>
            </w:r>
            <w:proofErr w:type="spellEnd"/>
            <w:r w:rsidRPr="0087494E">
              <w:rPr>
                <w:rFonts w:eastAsia="Calibri" w:cs="Arial"/>
                <w:color w:val="auto"/>
                <w:sz w:val="14"/>
                <w:szCs w:val="14"/>
                <w:lang w:val="en-GB" w:eastAsia="en-US"/>
              </w:rPr>
              <w:t xml:space="preserve"> legate de </w:t>
            </w:r>
            <w:proofErr w:type="spellStart"/>
            <w:r w:rsidRPr="0087494E">
              <w:rPr>
                <w:rFonts w:eastAsia="Calibri" w:cs="Arial"/>
                <w:color w:val="auto"/>
                <w:sz w:val="14"/>
                <w:szCs w:val="14"/>
                <w:lang w:val="en-GB" w:eastAsia="en-US"/>
              </w:rPr>
              <w:t>combustibili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fosili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inclusiv</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extracția</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procesarea</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depozitarea</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și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transportul</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produselor</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petroliere</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gazelor</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naturale</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și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cărbunelui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termic</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și</w:t>
            </w:r>
            <w:proofErr w:type="spellEnd"/>
            <w:r w:rsidRPr="0087494E">
              <w:rPr>
                <w:rFonts w:eastAsia="Calibri" w:cs="Arial"/>
                <w:color w:val="auto"/>
                <w:sz w:val="14"/>
                <w:szCs w:val="14"/>
                <w:lang w:val="en-GB" w:eastAsia="en-US"/>
              </w:rPr>
              <w:t xml:space="preserve"> </w:t>
            </w:r>
            <w:proofErr w:type="spellStart"/>
            <w:r w:rsidRPr="0087494E">
              <w:rPr>
                <w:rFonts w:eastAsia="Calibri" w:cs="Arial"/>
                <w:color w:val="auto"/>
                <w:sz w:val="14"/>
                <w:szCs w:val="14"/>
                <w:lang w:val="en-GB" w:eastAsia="en-US"/>
              </w:rPr>
              <w:t>metalurgic</w:t>
            </w:r>
            <w:proofErr w:type="spellEnd"/>
            <w:r w:rsidRPr="0087494E">
              <w:rPr>
                <w:rFonts w:eastAsia="Calibri" w:cs="Arial"/>
                <w:color w:val="auto"/>
                <w:sz w:val="14"/>
                <w:szCs w:val="14"/>
                <w:lang w:val="en-GB" w:eastAsia="en-US"/>
              </w:rPr>
              <w:t>.</w:t>
            </w:r>
          </w:p>
        </w:tc>
        <w:tc>
          <w:tcPr>
            <w:tcW w:w="5670" w:type="dxa"/>
            <w:vMerge/>
            <w:tcBorders>
              <w:left w:val="single" w:sz="4" w:space="0" w:color="auto"/>
              <w:right w:val="single" w:sz="4" w:space="0" w:color="auto"/>
            </w:tcBorders>
          </w:tcPr>
          <w:p w14:paraId="0A38CE5E" w14:textId="06C2F242" w:rsidR="003C50A4" w:rsidRPr="00174138" w:rsidRDefault="003C50A4" w:rsidP="00DA4C02">
            <w:pPr>
              <w:widowControl/>
              <w:suppressAutoHyphens w:val="0"/>
              <w:spacing w:before="0" w:after="60" w:line="240" w:lineRule="auto"/>
              <w:contextualSpacing w:val="0"/>
              <w:jc w:val="both"/>
              <w:rPr>
                <w:rFonts w:eastAsia="Calibri" w:cs="Arial"/>
                <w:noProof/>
                <w:color w:val="auto"/>
                <w:sz w:val="14"/>
                <w:szCs w:val="14"/>
                <w:lang w:val="en-GB" w:eastAsia="en-US"/>
              </w:rPr>
            </w:pPr>
          </w:p>
        </w:tc>
      </w:tr>
      <w:tr w:rsidR="003C50A4" w:rsidRPr="00E3260F" w14:paraId="5D7CBFB6" w14:textId="77777777" w:rsidTr="00667CC2">
        <w:trPr>
          <w:trHeight w:val="2016"/>
        </w:trPr>
        <w:tc>
          <w:tcPr>
            <w:tcW w:w="881" w:type="dxa"/>
            <w:vMerge/>
            <w:tcBorders>
              <w:left w:val="single" w:sz="4" w:space="0" w:color="auto"/>
              <w:right w:val="single" w:sz="4" w:space="0" w:color="auto"/>
            </w:tcBorders>
            <w:vAlign w:val="center"/>
          </w:tcPr>
          <w:p w14:paraId="195F4C87" w14:textId="77777777" w:rsidR="003C50A4" w:rsidRPr="00174138" w:rsidRDefault="003C50A4" w:rsidP="00DA4C02">
            <w:pPr>
              <w:widowControl/>
              <w:suppressAutoHyphens w:val="0"/>
              <w:spacing w:before="0" w:after="0" w:line="240" w:lineRule="auto"/>
              <w:contextualSpacing w:val="0"/>
              <w:rPr>
                <w:rFonts w:eastAsia="Calibri" w:cs="Arial"/>
                <w:noProof/>
                <w:color w:val="auto"/>
                <w:sz w:val="14"/>
                <w:szCs w:val="14"/>
                <w:lang w:val="en-GB" w:eastAsia="en-US"/>
              </w:rPr>
            </w:pPr>
          </w:p>
        </w:tc>
        <w:tc>
          <w:tcPr>
            <w:tcW w:w="1020" w:type="dxa"/>
            <w:vMerge w:val="restart"/>
            <w:tcBorders>
              <w:top w:val="single" w:sz="4" w:space="0" w:color="auto"/>
              <w:left w:val="single" w:sz="4" w:space="0" w:color="auto"/>
              <w:right w:val="single" w:sz="4" w:space="0" w:color="auto"/>
            </w:tcBorders>
            <w:vAlign w:val="center"/>
          </w:tcPr>
          <w:p w14:paraId="78079E85" w14:textId="47933FAD" w:rsidR="003C50A4" w:rsidRPr="0087494E" w:rsidRDefault="003C50A4" w:rsidP="00DA4C02">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noProof/>
                <w:color w:val="auto"/>
                <w:sz w:val="14"/>
                <w:szCs w:val="14"/>
                <w:lang w:eastAsia="en-US"/>
              </w:rPr>
              <w:t>5.Ponderea consumului și producției de energie neregenerabilă</w:t>
            </w:r>
          </w:p>
        </w:tc>
        <w:tc>
          <w:tcPr>
            <w:tcW w:w="2608" w:type="dxa"/>
            <w:vMerge w:val="restart"/>
            <w:tcBorders>
              <w:top w:val="single" w:sz="4" w:space="0" w:color="auto"/>
              <w:left w:val="single" w:sz="4" w:space="0" w:color="auto"/>
              <w:right w:val="single" w:sz="4" w:space="0" w:color="auto"/>
            </w:tcBorders>
            <w:vAlign w:val="center"/>
          </w:tcPr>
          <w:p w14:paraId="57595F75"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Ponderea consumului de energie neregenerabilă și a producției de energie neregenerabilă a societăților în care s-a investit din surse de energie neregenerabile comparativ cu sursele regenerabile de energie, exprimată ca procent din totalul surselor de energie</w:t>
            </w:r>
          </w:p>
        </w:tc>
        <w:tc>
          <w:tcPr>
            <w:tcW w:w="1179" w:type="dxa"/>
            <w:tcBorders>
              <w:top w:val="single" w:sz="4" w:space="0" w:color="auto"/>
              <w:left w:val="single" w:sz="4" w:space="0" w:color="auto"/>
              <w:bottom w:val="single" w:sz="4" w:space="0" w:color="auto"/>
              <w:right w:val="single" w:sz="4" w:space="0" w:color="auto"/>
            </w:tcBorders>
          </w:tcPr>
          <w:p w14:paraId="1AAFF12F" w14:textId="6B595FA1"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180" w:type="dxa"/>
            <w:vMerge w:val="restart"/>
            <w:tcBorders>
              <w:top w:val="single" w:sz="4" w:space="0" w:color="auto"/>
              <w:left w:val="single" w:sz="4" w:space="0" w:color="auto"/>
              <w:right w:val="single" w:sz="4" w:space="0" w:color="auto"/>
            </w:tcBorders>
          </w:tcPr>
          <w:p w14:paraId="6AC45E34" w14:textId="221AA896"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916" w:type="dxa"/>
            <w:vMerge w:val="restart"/>
            <w:tcBorders>
              <w:top w:val="single" w:sz="4" w:space="0" w:color="auto"/>
              <w:left w:val="single" w:sz="4" w:space="0" w:color="auto"/>
              <w:right w:val="single" w:sz="4" w:space="0" w:color="auto"/>
            </w:tcBorders>
          </w:tcPr>
          <w:p w14:paraId="0A5EF1B2" w14:textId="28549DDC" w:rsidR="003C50A4" w:rsidRPr="0087494E" w:rsidRDefault="003C50A4" w:rsidP="00DA4C02">
            <w:pPr>
              <w:suppressAutoHyphens w:val="0"/>
              <w:spacing w:before="0" w:line="240" w:lineRule="auto"/>
              <w:jc w:val="both"/>
              <w:rPr>
                <w:rFonts w:eastAsia="Calibri" w:cs="Arial"/>
                <w:color w:val="auto"/>
                <w:sz w:val="14"/>
                <w:szCs w:val="14"/>
                <w:lang w:eastAsia="en-US"/>
              </w:rPr>
            </w:pPr>
            <w:r w:rsidRPr="00174138">
              <w:rPr>
                <w:rFonts w:eastAsia="Calibri" w:cs="Arial"/>
                <w:color w:val="auto"/>
                <w:sz w:val="14"/>
                <w:szCs w:val="14"/>
                <w:lang w:eastAsia="en-US"/>
              </w:rPr>
              <w:t>Media ponderată a portofoliului a consumului și/sau producției de energie din surse neregenerabile a emitenților ca procent din energia totală utilizată și/sau generată.</w:t>
            </w:r>
          </w:p>
        </w:tc>
        <w:tc>
          <w:tcPr>
            <w:tcW w:w="5670" w:type="dxa"/>
            <w:vMerge/>
            <w:tcBorders>
              <w:left w:val="single" w:sz="4" w:space="0" w:color="auto"/>
              <w:right w:val="single" w:sz="4" w:space="0" w:color="auto"/>
            </w:tcBorders>
          </w:tcPr>
          <w:p w14:paraId="776AF66E" w14:textId="316D1C86" w:rsidR="003C50A4" w:rsidRPr="0087494E" w:rsidRDefault="003C50A4" w:rsidP="00DA4C02">
            <w:pPr>
              <w:suppressAutoHyphens w:val="0"/>
              <w:spacing w:before="0" w:after="60" w:line="240" w:lineRule="auto"/>
              <w:contextualSpacing w:val="0"/>
              <w:jc w:val="both"/>
              <w:rPr>
                <w:rFonts w:cs="Arial"/>
                <w:color w:val="auto"/>
                <w:sz w:val="14"/>
                <w:szCs w:val="14"/>
              </w:rPr>
            </w:pPr>
          </w:p>
        </w:tc>
      </w:tr>
      <w:tr w:rsidR="003C50A4" w:rsidRPr="00E3260F" w14:paraId="6B923B88" w14:textId="77777777" w:rsidTr="00E05207">
        <w:trPr>
          <w:trHeight w:val="680"/>
        </w:trPr>
        <w:tc>
          <w:tcPr>
            <w:tcW w:w="881" w:type="dxa"/>
            <w:vMerge/>
            <w:tcBorders>
              <w:left w:val="single" w:sz="4" w:space="0" w:color="auto"/>
              <w:right w:val="single" w:sz="4" w:space="0" w:color="auto"/>
            </w:tcBorders>
            <w:vAlign w:val="center"/>
          </w:tcPr>
          <w:p w14:paraId="65632832"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bottom w:val="single" w:sz="4" w:space="0" w:color="auto"/>
              <w:right w:val="single" w:sz="4" w:space="0" w:color="auto"/>
            </w:tcBorders>
            <w:vAlign w:val="center"/>
          </w:tcPr>
          <w:p w14:paraId="280A0099"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2608" w:type="dxa"/>
            <w:vMerge/>
            <w:tcBorders>
              <w:left w:val="single" w:sz="4" w:space="0" w:color="auto"/>
              <w:bottom w:val="single" w:sz="4" w:space="0" w:color="auto"/>
              <w:right w:val="single" w:sz="4" w:space="0" w:color="auto"/>
            </w:tcBorders>
            <w:vAlign w:val="center"/>
          </w:tcPr>
          <w:p w14:paraId="22C5BFC8" w14:textId="77777777" w:rsidR="003C50A4" w:rsidRPr="0087494E" w:rsidRDefault="003C50A4" w:rsidP="00DA4C02">
            <w:pPr>
              <w:widowControl/>
              <w:suppressAutoHyphens w:val="0"/>
              <w:spacing w:before="0" w:after="0" w:line="240" w:lineRule="auto"/>
              <w:contextualSpacing w:val="0"/>
              <w:rPr>
                <w:rFonts w:eastAsia="Calibri" w:cs="Arial"/>
                <w:noProof/>
                <w:color w:val="auto"/>
                <w:sz w:val="14"/>
                <w:szCs w:val="14"/>
                <w:lang w:eastAsia="en-US"/>
              </w:rPr>
            </w:pPr>
          </w:p>
        </w:tc>
        <w:tc>
          <w:tcPr>
            <w:tcW w:w="1179" w:type="dxa"/>
            <w:tcBorders>
              <w:top w:val="single" w:sz="4" w:space="0" w:color="auto"/>
              <w:left w:val="single" w:sz="4" w:space="0" w:color="auto"/>
              <w:bottom w:val="single" w:sz="4" w:space="0" w:color="auto"/>
              <w:right w:val="single" w:sz="4" w:space="0" w:color="auto"/>
            </w:tcBorders>
          </w:tcPr>
          <w:p w14:paraId="175B191A" w14:textId="77777777"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180" w:type="dxa"/>
            <w:vMerge/>
            <w:tcBorders>
              <w:left w:val="single" w:sz="4" w:space="0" w:color="auto"/>
              <w:bottom w:val="single" w:sz="4" w:space="0" w:color="auto"/>
              <w:right w:val="single" w:sz="4" w:space="0" w:color="auto"/>
            </w:tcBorders>
          </w:tcPr>
          <w:p w14:paraId="1CDEABD3" w14:textId="77777777" w:rsidR="003C50A4" w:rsidRPr="0087494E" w:rsidRDefault="003C50A4" w:rsidP="00DA4C02">
            <w:pPr>
              <w:widowControl/>
              <w:suppressAutoHyphens w:val="0"/>
              <w:spacing w:before="0" w:after="0" w:line="240" w:lineRule="auto"/>
              <w:contextualSpacing w:val="0"/>
              <w:jc w:val="both"/>
              <w:rPr>
                <w:rFonts w:eastAsia="Calibri" w:cs="Arial"/>
                <w:noProof/>
                <w:color w:val="auto"/>
                <w:sz w:val="12"/>
                <w:szCs w:val="12"/>
                <w:lang w:eastAsia="en-US"/>
              </w:rPr>
            </w:pPr>
          </w:p>
        </w:tc>
        <w:tc>
          <w:tcPr>
            <w:tcW w:w="1916" w:type="dxa"/>
            <w:vMerge/>
            <w:tcBorders>
              <w:left w:val="single" w:sz="4" w:space="0" w:color="auto"/>
              <w:bottom w:val="single" w:sz="4" w:space="0" w:color="auto"/>
              <w:right w:val="single" w:sz="4" w:space="0" w:color="auto"/>
            </w:tcBorders>
          </w:tcPr>
          <w:p w14:paraId="25728C07" w14:textId="77777777" w:rsidR="003C50A4" w:rsidRPr="0087494E" w:rsidRDefault="003C50A4" w:rsidP="00DA4C02">
            <w:pPr>
              <w:suppressAutoHyphens w:val="0"/>
              <w:spacing w:before="0" w:line="240" w:lineRule="auto"/>
              <w:jc w:val="both"/>
              <w:rPr>
                <w:rFonts w:eastAsia="Calibri" w:cs="Arial"/>
                <w:color w:val="auto"/>
                <w:sz w:val="14"/>
                <w:szCs w:val="14"/>
                <w:lang w:eastAsia="en-US"/>
              </w:rPr>
            </w:pPr>
          </w:p>
        </w:tc>
        <w:tc>
          <w:tcPr>
            <w:tcW w:w="5670" w:type="dxa"/>
            <w:vMerge/>
            <w:tcBorders>
              <w:left w:val="single" w:sz="4" w:space="0" w:color="auto"/>
              <w:bottom w:val="single" w:sz="4" w:space="0" w:color="auto"/>
              <w:right w:val="single" w:sz="4" w:space="0" w:color="auto"/>
            </w:tcBorders>
          </w:tcPr>
          <w:p w14:paraId="3672C23C" w14:textId="77777777" w:rsidR="003C50A4" w:rsidRPr="0087494E" w:rsidRDefault="003C50A4" w:rsidP="00DA4C02">
            <w:pPr>
              <w:suppressAutoHyphens w:val="0"/>
              <w:spacing w:before="0" w:after="60" w:line="240" w:lineRule="auto"/>
              <w:contextualSpacing w:val="0"/>
              <w:jc w:val="both"/>
              <w:rPr>
                <w:rFonts w:cs="Arial"/>
                <w:color w:val="auto"/>
                <w:sz w:val="14"/>
                <w:szCs w:val="14"/>
              </w:rPr>
            </w:pPr>
          </w:p>
        </w:tc>
      </w:tr>
      <w:tr w:rsidR="00826FBB" w:rsidRPr="00E3260F" w14:paraId="04E4BB6D" w14:textId="77777777" w:rsidTr="00B22082">
        <w:tc>
          <w:tcPr>
            <w:tcW w:w="881" w:type="dxa"/>
            <w:vMerge/>
            <w:tcBorders>
              <w:left w:val="single" w:sz="4" w:space="0" w:color="auto"/>
              <w:right w:val="single" w:sz="4" w:space="0" w:color="auto"/>
            </w:tcBorders>
            <w:vAlign w:val="center"/>
            <w:hideMark/>
          </w:tcPr>
          <w:p w14:paraId="15D39CBC"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val="restart"/>
            <w:tcBorders>
              <w:top w:val="single" w:sz="4" w:space="0" w:color="auto"/>
              <w:left w:val="single" w:sz="4" w:space="0" w:color="auto"/>
              <w:right w:val="single" w:sz="4" w:space="0" w:color="auto"/>
            </w:tcBorders>
            <w:vAlign w:val="center"/>
            <w:hideMark/>
          </w:tcPr>
          <w:p w14:paraId="7230962F" w14:textId="71A6F2D3"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bCs/>
                <w:noProof/>
                <w:color w:val="auto"/>
                <w:sz w:val="14"/>
                <w:szCs w:val="14"/>
                <w:lang w:eastAsia="en-US"/>
              </w:rPr>
              <w:t>6.Intensitatea consumului de energie pentru fiecare sector climatic cu impact ridicat</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CFE8AA0" w14:textId="720D72D4" w:rsidR="00826FBB" w:rsidRPr="0087494E" w:rsidRDefault="00826FBB" w:rsidP="0033273E">
            <w:pPr>
              <w:widowControl/>
              <w:suppressAutoHyphens w:val="0"/>
              <w:spacing w:before="0" w:after="0" w:line="240" w:lineRule="auto"/>
              <w:contextualSpacing w:val="0"/>
              <w:rPr>
                <w:rFonts w:eastAsia="Calibri" w:cs="Arial"/>
                <w:b/>
                <w:bCs/>
                <w:noProof/>
                <w:color w:val="auto"/>
                <w:sz w:val="14"/>
                <w:szCs w:val="14"/>
                <w:lang w:eastAsia="en-US"/>
              </w:rPr>
            </w:pPr>
            <w:r w:rsidRPr="00174138">
              <w:rPr>
                <w:rFonts w:eastAsia="Calibri" w:cs="Arial"/>
                <w:b/>
                <w:bCs/>
                <w:noProof/>
                <w:color w:val="auto"/>
                <w:sz w:val="14"/>
                <w:szCs w:val="14"/>
                <w:lang w:eastAsia="en-US"/>
              </w:rPr>
              <w:t>Consumul de energie în GWh pe milion EUR de venituri ale companiilor în care s-a investit, pe sector climatic cu impact ridicat:</w:t>
            </w:r>
          </w:p>
        </w:tc>
        <w:tc>
          <w:tcPr>
            <w:tcW w:w="1179" w:type="dxa"/>
            <w:tcBorders>
              <w:top w:val="single" w:sz="4" w:space="0" w:color="auto"/>
              <w:left w:val="single" w:sz="4" w:space="0" w:color="auto"/>
              <w:bottom w:val="single" w:sz="4" w:space="0" w:color="auto"/>
              <w:right w:val="single" w:sz="4" w:space="0" w:color="auto"/>
            </w:tcBorders>
            <w:vAlign w:val="center"/>
          </w:tcPr>
          <w:p w14:paraId="5C18F836" w14:textId="4AB44824" w:rsidR="00826FBB" w:rsidRPr="0087494E" w:rsidRDefault="00826FBB" w:rsidP="0033273E">
            <w:pPr>
              <w:widowControl/>
              <w:suppressAutoHyphens w:val="0"/>
              <w:spacing w:before="0" w:after="0" w:line="240" w:lineRule="auto"/>
              <w:contextualSpacing w:val="0"/>
              <w:jc w:val="center"/>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44F71286" w14:textId="0140613A" w:rsidR="00826FBB" w:rsidRPr="0087494E" w:rsidRDefault="00826FBB" w:rsidP="0033273E">
            <w:pPr>
              <w:widowControl/>
              <w:suppressAutoHyphens w:val="0"/>
              <w:spacing w:before="0" w:after="0" w:line="240" w:lineRule="auto"/>
              <w:contextualSpacing w:val="0"/>
              <w:jc w:val="center"/>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vAlign w:val="center"/>
          </w:tcPr>
          <w:p w14:paraId="558E6F87" w14:textId="1DDEA0E0" w:rsidR="00826FBB" w:rsidRPr="0087494E" w:rsidRDefault="00826FBB" w:rsidP="0033273E">
            <w:pPr>
              <w:widowControl/>
              <w:suppressAutoHyphens w:val="0"/>
              <w:spacing w:before="0" w:after="0" w:line="240" w:lineRule="auto"/>
              <w:contextualSpacing w:val="0"/>
              <w:jc w:val="center"/>
              <w:rPr>
                <w:rFonts w:eastAsia="Calibri" w:cs="Arial"/>
                <w:noProof/>
                <w:color w:val="auto"/>
                <w:sz w:val="14"/>
                <w:szCs w:val="14"/>
                <w:lang w:eastAsia="en-US"/>
              </w:rPr>
            </w:pPr>
          </w:p>
        </w:tc>
        <w:tc>
          <w:tcPr>
            <w:tcW w:w="5670" w:type="dxa"/>
            <w:vMerge w:val="restart"/>
            <w:tcBorders>
              <w:top w:val="single" w:sz="4" w:space="0" w:color="auto"/>
              <w:left w:val="single" w:sz="4" w:space="0" w:color="auto"/>
              <w:right w:val="single" w:sz="4" w:space="0" w:color="auto"/>
            </w:tcBorders>
          </w:tcPr>
          <w:p w14:paraId="0AFD79B0" w14:textId="27232B36" w:rsidR="00826FBB" w:rsidRPr="0087494E" w:rsidRDefault="00826FBB" w:rsidP="00F04625">
            <w:pPr>
              <w:suppressAutoHyphens w:val="0"/>
              <w:spacing w:before="0" w:after="60" w:line="240" w:lineRule="auto"/>
              <w:contextualSpacing w:val="0"/>
              <w:jc w:val="both"/>
              <w:rPr>
                <w:rFonts w:cs="Arial"/>
                <w:bCs/>
                <w:color w:val="auto"/>
                <w:sz w:val="14"/>
                <w:szCs w:val="14"/>
              </w:rPr>
            </w:pPr>
            <w:r w:rsidRPr="00174138">
              <w:rPr>
                <w:rFonts w:cs="Arial"/>
                <w:bCs/>
                <w:color w:val="auto"/>
                <w:sz w:val="14"/>
                <w:szCs w:val="14"/>
              </w:rPr>
              <w:t>Grupul Generali integrează consumul de energie în evaluarea performanței climatice și de mediu a unei companii în comparație cu omologii săi din sector:</w:t>
            </w:r>
          </w:p>
          <w:p w14:paraId="744A3171" w14:textId="6B48CE99" w:rsidR="00826FBB" w:rsidRPr="0087494E" w:rsidRDefault="00826FBB" w:rsidP="00F04625">
            <w:pPr>
              <w:spacing w:before="0" w:after="60" w:line="240" w:lineRule="auto"/>
              <w:contextualSpacing w:val="0"/>
              <w:jc w:val="both"/>
              <w:rPr>
                <w:rFonts w:eastAsia="Calibri" w:cs="Arial"/>
                <w:color w:val="auto"/>
                <w:sz w:val="14"/>
                <w:szCs w:val="14"/>
              </w:rPr>
            </w:pPr>
            <w:r w:rsidRPr="00174138">
              <w:rPr>
                <w:rFonts w:eastAsia="Calibri" w:cs="Arial"/>
                <w:color w:val="auto"/>
                <w:sz w:val="14"/>
                <w:szCs w:val="14"/>
                <w:lang w:eastAsia="en-US"/>
              </w:rPr>
              <w:t xml:space="preserve">- </w:t>
            </w:r>
            <w:r w:rsidRPr="00174138">
              <w:rPr>
                <w:rFonts w:eastAsia="Calibri" w:cs="Arial"/>
                <w:b/>
                <w:bCs/>
                <w:color w:val="auto"/>
                <w:sz w:val="14"/>
                <w:szCs w:val="14"/>
              </w:rPr>
              <w:t xml:space="preserve">Screening negativ / screening pozitiv: </w:t>
            </w:r>
            <w:r w:rsidRPr="00174138">
              <w:rPr>
                <w:rFonts w:eastAsia="Calibri" w:cs="Arial"/>
                <w:color w:val="auto"/>
                <w:sz w:val="14"/>
                <w:szCs w:val="14"/>
              </w:rPr>
              <w:t>pentru sectoarele climatice cu impact ridicat, cum ar fi energia și utilitățile, consumul de energie este unul dintre factorii de intrare utilizați pentru construirea ratingurilor ESG utilizate de Grup în procesul de investiții. Aceasta include atât excluderea din investițiile companiilor care sunt în urmă în ceea ce privește strategia ESG (screening negativ), cât și integrarea performanței ESG în construcția portofoliului (screening pozitiv / integrare ESG)</w:t>
            </w:r>
          </w:p>
          <w:p w14:paraId="54596782" w14:textId="00CE6AB3" w:rsidR="00826FBB" w:rsidRPr="0087494E" w:rsidRDefault="00826FBB" w:rsidP="00F04625">
            <w:pPr>
              <w:framePr w:hSpace="180" w:wrap="around" w:vAnchor="page" w:hAnchor="margin" w:xAlign="center" w:y="1921"/>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Consumul de energie al companiilor în care s-a investit este un factor luat în considerare și în decarbonizarea portofoliului de investiții și influențează atingerea obiectivelor de decarbonizare ale Grupului: consumul de energie este factorul care determină emisiile de carbon ale unei companii din energia achiziționată, care constituie emisiile de carbon de tip 2 luate în considerare în obiectivele Grupului. Ca atare, consumul de energie al companiilor este un indicator care trebuie monitorizat, în special pentru sectorul intensiv de carbon, pentru a evalua impactul acestui sector asupra obiectivelor de decarbonizare ale Grupului.</w:t>
            </w:r>
          </w:p>
        </w:tc>
      </w:tr>
      <w:tr w:rsidR="00826FBB" w:rsidRPr="00E3260F" w14:paraId="1459850F" w14:textId="77777777" w:rsidTr="00B22082">
        <w:tc>
          <w:tcPr>
            <w:tcW w:w="881" w:type="dxa"/>
            <w:vMerge/>
            <w:tcBorders>
              <w:left w:val="single" w:sz="4" w:space="0" w:color="auto"/>
              <w:right w:val="single" w:sz="4" w:space="0" w:color="auto"/>
            </w:tcBorders>
            <w:vAlign w:val="center"/>
          </w:tcPr>
          <w:p w14:paraId="0CAC361B"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45A46560"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4ED1FD39" w14:textId="782232D3" w:rsidR="00826FBB" w:rsidRPr="00174138" w:rsidRDefault="00826FBB" w:rsidP="00A372AB">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Codul NACE A (agricultură, silvicultură și pescuit)</w:t>
            </w:r>
          </w:p>
        </w:tc>
        <w:tc>
          <w:tcPr>
            <w:tcW w:w="1179" w:type="dxa"/>
            <w:tcBorders>
              <w:top w:val="single" w:sz="4" w:space="0" w:color="auto"/>
              <w:left w:val="single" w:sz="4" w:space="0" w:color="auto"/>
              <w:bottom w:val="single" w:sz="4" w:space="0" w:color="auto"/>
              <w:right w:val="single" w:sz="4" w:space="0" w:color="auto"/>
            </w:tcBorders>
          </w:tcPr>
          <w:p w14:paraId="68EC5C61" w14:textId="5313C427"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4EA0EBED" w14:textId="1084D609"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916" w:type="dxa"/>
            <w:vMerge w:val="restart"/>
            <w:tcBorders>
              <w:top w:val="single" w:sz="4" w:space="0" w:color="auto"/>
              <w:left w:val="single" w:sz="4" w:space="0" w:color="auto"/>
              <w:right w:val="single" w:sz="4" w:space="0" w:color="auto"/>
            </w:tcBorders>
          </w:tcPr>
          <w:p w14:paraId="0E87B226" w14:textId="056FF9DC"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Media ponderată a portofoliului de intensitate a consumului de energie (GwH/milioane EUR venituri) pentru emitenții clasificați în NACE respective.</w:t>
            </w:r>
          </w:p>
        </w:tc>
        <w:tc>
          <w:tcPr>
            <w:tcW w:w="5670" w:type="dxa"/>
            <w:vMerge/>
            <w:tcBorders>
              <w:left w:val="single" w:sz="4" w:space="0" w:color="auto"/>
              <w:right w:val="single" w:sz="4" w:space="0" w:color="auto"/>
            </w:tcBorders>
          </w:tcPr>
          <w:p w14:paraId="06CA277C"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826FBB" w:rsidRPr="00E3260F" w14:paraId="10F33E67" w14:textId="77777777" w:rsidTr="00B22082">
        <w:tc>
          <w:tcPr>
            <w:tcW w:w="881" w:type="dxa"/>
            <w:vMerge/>
            <w:tcBorders>
              <w:left w:val="single" w:sz="4" w:space="0" w:color="auto"/>
              <w:right w:val="single" w:sz="4" w:space="0" w:color="auto"/>
            </w:tcBorders>
            <w:vAlign w:val="center"/>
          </w:tcPr>
          <w:p w14:paraId="35EB80AD"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26B44617"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6CF1A0A4" w14:textId="0C2FBCC6"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CAEN B (Minerit și carieră)</w:t>
            </w:r>
          </w:p>
        </w:tc>
        <w:tc>
          <w:tcPr>
            <w:tcW w:w="1179" w:type="dxa"/>
            <w:tcBorders>
              <w:top w:val="single" w:sz="4" w:space="0" w:color="auto"/>
              <w:left w:val="single" w:sz="4" w:space="0" w:color="auto"/>
              <w:bottom w:val="single" w:sz="4" w:space="0" w:color="auto"/>
              <w:right w:val="single" w:sz="4" w:space="0" w:color="auto"/>
            </w:tcBorders>
          </w:tcPr>
          <w:p w14:paraId="0CACADF1" w14:textId="445A5976"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57999B7D" w14:textId="3858DE71"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vMerge/>
            <w:tcBorders>
              <w:left w:val="single" w:sz="4" w:space="0" w:color="auto"/>
              <w:right w:val="single" w:sz="4" w:space="0" w:color="auto"/>
            </w:tcBorders>
          </w:tcPr>
          <w:p w14:paraId="3AEEF94E" w14:textId="46E47FF5" w:rsidR="00826FBB" w:rsidRPr="0087494E" w:rsidRDefault="00826FBB" w:rsidP="00EA6684">
            <w:pPr>
              <w:widowControl/>
              <w:suppressAutoHyphens w:val="0"/>
              <w:spacing w:before="0" w:after="0" w:line="240" w:lineRule="auto"/>
              <w:contextualSpacing w:val="0"/>
              <w:rPr>
                <w:rFonts w:eastAsia="Calibri" w:cs="Arial"/>
                <w:noProof/>
                <w:color w:val="auto"/>
                <w:sz w:val="14"/>
                <w:szCs w:val="14"/>
                <w:lang w:eastAsia="en-US"/>
              </w:rPr>
            </w:pPr>
          </w:p>
        </w:tc>
        <w:tc>
          <w:tcPr>
            <w:tcW w:w="5670" w:type="dxa"/>
            <w:vMerge/>
            <w:tcBorders>
              <w:left w:val="single" w:sz="4" w:space="0" w:color="auto"/>
              <w:right w:val="single" w:sz="4" w:space="0" w:color="auto"/>
            </w:tcBorders>
          </w:tcPr>
          <w:p w14:paraId="7CDEF894"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826FBB" w:rsidRPr="00174138" w14:paraId="1ECDE471" w14:textId="77777777" w:rsidTr="00B22082">
        <w:tc>
          <w:tcPr>
            <w:tcW w:w="881" w:type="dxa"/>
            <w:vMerge/>
            <w:tcBorders>
              <w:left w:val="single" w:sz="4" w:space="0" w:color="auto"/>
              <w:right w:val="single" w:sz="4" w:space="0" w:color="auto"/>
            </w:tcBorders>
            <w:vAlign w:val="center"/>
          </w:tcPr>
          <w:p w14:paraId="69873720"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035AC5C8"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4C62467F" w14:textId="15042C0F"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Codul CAEN C (Producție)</w:t>
            </w:r>
          </w:p>
        </w:tc>
        <w:tc>
          <w:tcPr>
            <w:tcW w:w="1179" w:type="dxa"/>
            <w:tcBorders>
              <w:top w:val="single" w:sz="4" w:space="0" w:color="auto"/>
              <w:left w:val="single" w:sz="4" w:space="0" w:color="auto"/>
              <w:bottom w:val="single" w:sz="4" w:space="0" w:color="auto"/>
              <w:right w:val="single" w:sz="4" w:space="0" w:color="auto"/>
            </w:tcBorders>
          </w:tcPr>
          <w:p w14:paraId="713762DB" w14:textId="393DEC10"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74D85AE6" w14:textId="4225A529"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916" w:type="dxa"/>
            <w:vMerge/>
            <w:tcBorders>
              <w:left w:val="single" w:sz="4" w:space="0" w:color="auto"/>
              <w:right w:val="single" w:sz="4" w:space="0" w:color="auto"/>
            </w:tcBorders>
          </w:tcPr>
          <w:p w14:paraId="2B2426C3" w14:textId="7101966F" w:rsidR="00826FBB" w:rsidRPr="00174138" w:rsidRDefault="00826FBB" w:rsidP="00EA6684">
            <w:pPr>
              <w:widowControl/>
              <w:suppressAutoHyphens w:val="0"/>
              <w:spacing w:before="0" w:after="0" w:line="240" w:lineRule="auto"/>
              <w:contextualSpacing w:val="0"/>
              <w:rPr>
                <w:rFonts w:eastAsia="Calibri" w:cs="Arial"/>
                <w:noProof/>
                <w:color w:val="auto"/>
                <w:sz w:val="14"/>
                <w:szCs w:val="14"/>
                <w:lang w:val="en-GB" w:eastAsia="en-US"/>
              </w:rPr>
            </w:pPr>
          </w:p>
        </w:tc>
        <w:tc>
          <w:tcPr>
            <w:tcW w:w="5670" w:type="dxa"/>
            <w:vMerge/>
            <w:tcBorders>
              <w:left w:val="single" w:sz="4" w:space="0" w:color="auto"/>
              <w:right w:val="single" w:sz="4" w:space="0" w:color="auto"/>
            </w:tcBorders>
          </w:tcPr>
          <w:p w14:paraId="24EFCE66" w14:textId="77777777" w:rsidR="00826FBB" w:rsidRPr="00174138" w:rsidRDefault="00826FBB" w:rsidP="00F04625">
            <w:pPr>
              <w:suppressAutoHyphens w:val="0"/>
              <w:spacing w:before="0" w:after="60" w:line="240" w:lineRule="auto"/>
              <w:contextualSpacing w:val="0"/>
              <w:jc w:val="both"/>
              <w:rPr>
                <w:rFonts w:cs="Arial"/>
                <w:color w:val="auto"/>
                <w:sz w:val="14"/>
                <w:szCs w:val="14"/>
                <w:lang w:val="en-GB"/>
              </w:rPr>
            </w:pPr>
          </w:p>
        </w:tc>
      </w:tr>
      <w:tr w:rsidR="00826FBB" w:rsidRPr="00E3260F" w14:paraId="27DC6ED6" w14:textId="77777777" w:rsidTr="00B22082">
        <w:tc>
          <w:tcPr>
            <w:tcW w:w="881" w:type="dxa"/>
            <w:vMerge/>
            <w:tcBorders>
              <w:left w:val="single" w:sz="4" w:space="0" w:color="auto"/>
              <w:right w:val="single" w:sz="4" w:space="0" w:color="auto"/>
            </w:tcBorders>
            <w:vAlign w:val="center"/>
          </w:tcPr>
          <w:p w14:paraId="5F2175A3" w14:textId="77777777"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p>
        </w:tc>
        <w:tc>
          <w:tcPr>
            <w:tcW w:w="1020" w:type="dxa"/>
            <w:vMerge/>
            <w:tcBorders>
              <w:left w:val="single" w:sz="4" w:space="0" w:color="auto"/>
              <w:right w:val="single" w:sz="4" w:space="0" w:color="auto"/>
            </w:tcBorders>
            <w:vAlign w:val="center"/>
          </w:tcPr>
          <w:p w14:paraId="21AAC6B5" w14:textId="77777777" w:rsidR="00826FBB" w:rsidRPr="00174138" w:rsidRDefault="00826FBB" w:rsidP="0033273E">
            <w:pPr>
              <w:widowControl/>
              <w:suppressAutoHyphens w:val="0"/>
              <w:spacing w:before="0" w:after="0" w:line="240" w:lineRule="auto"/>
              <w:contextualSpacing w:val="0"/>
              <w:rPr>
                <w:rFonts w:eastAsia="Calibri" w:cs="Arial"/>
                <w:bCs/>
                <w:noProof/>
                <w:color w:val="auto"/>
                <w:sz w:val="14"/>
                <w:szCs w:val="14"/>
                <w:lang w:val="en-GB"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2F95D516" w14:textId="11267D65" w:rsidR="00826FBB" w:rsidRPr="0087494E" w:rsidRDefault="00826FBB" w:rsidP="00F46079">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NACE D (Alimentare cu energie electrică, gaz, abur și aer condiționat)</w:t>
            </w:r>
          </w:p>
        </w:tc>
        <w:tc>
          <w:tcPr>
            <w:tcW w:w="1179" w:type="dxa"/>
            <w:tcBorders>
              <w:top w:val="single" w:sz="4" w:space="0" w:color="auto"/>
              <w:left w:val="single" w:sz="4" w:space="0" w:color="auto"/>
              <w:bottom w:val="single" w:sz="4" w:space="0" w:color="auto"/>
              <w:right w:val="single" w:sz="4" w:space="0" w:color="auto"/>
            </w:tcBorders>
          </w:tcPr>
          <w:p w14:paraId="221C83D6" w14:textId="6F3D4ED7"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3AFA7039" w14:textId="1795F74F"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vMerge/>
            <w:tcBorders>
              <w:left w:val="single" w:sz="4" w:space="0" w:color="auto"/>
              <w:right w:val="single" w:sz="4" w:space="0" w:color="auto"/>
            </w:tcBorders>
          </w:tcPr>
          <w:p w14:paraId="34B01F7D" w14:textId="2AD6ADD3" w:rsidR="00826FBB" w:rsidRPr="0087494E" w:rsidRDefault="00826FBB" w:rsidP="00EA6684">
            <w:pPr>
              <w:widowControl/>
              <w:suppressAutoHyphens w:val="0"/>
              <w:spacing w:before="0" w:after="0" w:line="240" w:lineRule="auto"/>
              <w:contextualSpacing w:val="0"/>
              <w:rPr>
                <w:rFonts w:eastAsia="Calibri" w:cs="Arial"/>
                <w:noProof/>
                <w:color w:val="auto"/>
                <w:sz w:val="14"/>
                <w:szCs w:val="14"/>
                <w:lang w:eastAsia="en-US"/>
              </w:rPr>
            </w:pPr>
          </w:p>
        </w:tc>
        <w:tc>
          <w:tcPr>
            <w:tcW w:w="5670" w:type="dxa"/>
            <w:vMerge/>
            <w:tcBorders>
              <w:left w:val="single" w:sz="4" w:space="0" w:color="auto"/>
              <w:right w:val="single" w:sz="4" w:space="0" w:color="auto"/>
            </w:tcBorders>
          </w:tcPr>
          <w:p w14:paraId="63B4BDA6"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826FBB" w:rsidRPr="00E3260F" w14:paraId="3CF30CA2" w14:textId="77777777" w:rsidTr="00B22082">
        <w:tc>
          <w:tcPr>
            <w:tcW w:w="881" w:type="dxa"/>
            <w:vMerge/>
            <w:tcBorders>
              <w:left w:val="single" w:sz="4" w:space="0" w:color="auto"/>
              <w:right w:val="single" w:sz="4" w:space="0" w:color="auto"/>
            </w:tcBorders>
            <w:vAlign w:val="center"/>
          </w:tcPr>
          <w:p w14:paraId="3EC55F28"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34E04FE8"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1C6650F9" w14:textId="3FA894C9" w:rsidR="00826FBB" w:rsidRPr="0087494E" w:rsidRDefault="00826FBB" w:rsidP="00F46079">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CAEN E (Alimentarea cu apă; Activități de canalizare, gestionare a deșeurilor și remediere)</w:t>
            </w:r>
          </w:p>
        </w:tc>
        <w:tc>
          <w:tcPr>
            <w:tcW w:w="1179" w:type="dxa"/>
            <w:tcBorders>
              <w:top w:val="single" w:sz="4" w:space="0" w:color="auto"/>
              <w:left w:val="single" w:sz="4" w:space="0" w:color="auto"/>
              <w:bottom w:val="single" w:sz="4" w:space="0" w:color="auto"/>
              <w:right w:val="single" w:sz="4" w:space="0" w:color="auto"/>
            </w:tcBorders>
          </w:tcPr>
          <w:p w14:paraId="1C3D2432" w14:textId="7810722C"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70A24D6E" w14:textId="1E067057"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vMerge/>
            <w:tcBorders>
              <w:left w:val="single" w:sz="4" w:space="0" w:color="auto"/>
              <w:right w:val="single" w:sz="4" w:space="0" w:color="auto"/>
            </w:tcBorders>
          </w:tcPr>
          <w:p w14:paraId="1D8168CD" w14:textId="08D7529E" w:rsidR="00826FBB" w:rsidRPr="0087494E" w:rsidRDefault="00826FBB" w:rsidP="00EA6684">
            <w:pPr>
              <w:widowControl/>
              <w:suppressAutoHyphens w:val="0"/>
              <w:spacing w:before="0" w:after="0" w:line="240" w:lineRule="auto"/>
              <w:contextualSpacing w:val="0"/>
              <w:rPr>
                <w:rFonts w:eastAsia="Calibri" w:cs="Arial"/>
                <w:noProof/>
                <w:color w:val="auto"/>
                <w:sz w:val="14"/>
                <w:szCs w:val="14"/>
                <w:lang w:eastAsia="en-US"/>
              </w:rPr>
            </w:pPr>
          </w:p>
        </w:tc>
        <w:tc>
          <w:tcPr>
            <w:tcW w:w="5670" w:type="dxa"/>
            <w:vMerge/>
            <w:tcBorders>
              <w:left w:val="single" w:sz="4" w:space="0" w:color="auto"/>
              <w:right w:val="single" w:sz="4" w:space="0" w:color="auto"/>
            </w:tcBorders>
          </w:tcPr>
          <w:p w14:paraId="089E536C"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826FBB" w:rsidRPr="00174138" w14:paraId="446B195C" w14:textId="77777777" w:rsidTr="00B22082">
        <w:tc>
          <w:tcPr>
            <w:tcW w:w="881" w:type="dxa"/>
            <w:vMerge/>
            <w:tcBorders>
              <w:left w:val="single" w:sz="4" w:space="0" w:color="auto"/>
              <w:right w:val="single" w:sz="4" w:space="0" w:color="auto"/>
            </w:tcBorders>
            <w:vAlign w:val="center"/>
          </w:tcPr>
          <w:p w14:paraId="7A1B127A"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right w:val="single" w:sz="4" w:space="0" w:color="auto"/>
            </w:tcBorders>
            <w:vAlign w:val="center"/>
          </w:tcPr>
          <w:p w14:paraId="7BA0D7B0"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647F876D" w14:textId="343D94BA"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Codul CAEN F (Construcții)</w:t>
            </w:r>
          </w:p>
        </w:tc>
        <w:tc>
          <w:tcPr>
            <w:tcW w:w="1179" w:type="dxa"/>
            <w:tcBorders>
              <w:top w:val="single" w:sz="4" w:space="0" w:color="auto"/>
              <w:left w:val="single" w:sz="4" w:space="0" w:color="auto"/>
              <w:bottom w:val="single" w:sz="4" w:space="0" w:color="auto"/>
              <w:right w:val="single" w:sz="4" w:space="0" w:color="auto"/>
            </w:tcBorders>
          </w:tcPr>
          <w:p w14:paraId="0B7B509E" w14:textId="637D16AB"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14D08615" w14:textId="12A87429"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916" w:type="dxa"/>
            <w:vMerge/>
            <w:tcBorders>
              <w:left w:val="single" w:sz="4" w:space="0" w:color="auto"/>
              <w:right w:val="single" w:sz="4" w:space="0" w:color="auto"/>
            </w:tcBorders>
          </w:tcPr>
          <w:p w14:paraId="1EB48E73" w14:textId="772FC329" w:rsidR="00826FBB" w:rsidRPr="00174138" w:rsidRDefault="00826FBB" w:rsidP="00EA6684">
            <w:pPr>
              <w:widowControl/>
              <w:suppressAutoHyphens w:val="0"/>
              <w:spacing w:before="0" w:after="0" w:line="240" w:lineRule="auto"/>
              <w:contextualSpacing w:val="0"/>
              <w:rPr>
                <w:rFonts w:eastAsia="Calibri" w:cs="Arial"/>
                <w:noProof/>
                <w:color w:val="auto"/>
                <w:sz w:val="14"/>
                <w:szCs w:val="14"/>
                <w:lang w:val="en-GB" w:eastAsia="en-US"/>
              </w:rPr>
            </w:pPr>
          </w:p>
        </w:tc>
        <w:tc>
          <w:tcPr>
            <w:tcW w:w="5670" w:type="dxa"/>
            <w:vMerge/>
            <w:tcBorders>
              <w:left w:val="single" w:sz="4" w:space="0" w:color="auto"/>
              <w:right w:val="single" w:sz="4" w:space="0" w:color="auto"/>
            </w:tcBorders>
          </w:tcPr>
          <w:p w14:paraId="0FC99BCF" w14:textId="77777777" w:rsidR="00826FBB" w:rsidRPr="00174138" w:rsidRDefault="00826FBB" w:rsidP="00F04625">
            <w:pPr>
              <w:suppressAutoHyphens w:val="0"/>
              <w:spacing w:before="0" w:after="60" w:line="240" w:lineRule="auto"/>
              <w:contextualSpacing w:val="0"/>
              <w:jc w:val="both"/>
              <w:rPr>
                <w:rFonts w:cs="Arial"/>
                <w:color w:val="auto"/>
                <w:sz w:val="14"/>
                <w:szCs w:val="14"/>
                <w:lang w:val="en-GB"/>
              </w:rPr>
            </w:pPr>
          </w:p>
        </w:tc>
      </w:tr>
      <w:tr w:rsidR="00826FBB" w:rsidRPr="00174138" w14:paraId="7815505D" w14:textId="77777777" w:rsidTr="00B22082">
        <w:trPr>
          <w:trHeight w:val="454"/>
        </w:trPr>
        <w:tc>
          <w:tcPr>
            <w:tcW w:w="881" w:type="dxa"/>
            <w:vMerge/>
            <w:tcBorders>
              <w:left w:val="single" w:sz="4" w:space="0" w:color="auto"/>
              <w:right w:val="single" w:sz="4" w:space="0" w:color="auto"/>
            </w:tcBorders>
            <w:vAlign w:val="center"/>
          </w:tcPr>
          <w:p w14:paraId="579D6883" w14:textId="77777777"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p>
        </w:tc>
        <w:tc>
          <w:tcPr>
            <w:tcW w:w="1020" w:type="dxa"/>
            <w:vMerge/>
            <w:tcBorders>
              <w:left w:val="single" w:sz="4" w:space="0" w:color="auto"/>
              <w:right w:val="single" w:sz="4" w:space="0" w:color="auto"/>
            </w:tcBorders>
            <w:vAlign w:val="center"/>
          </w:tcPr>
          <w:p w14:paraId="4CBF4C58" w14:textId="77777777" w:rsidR="00826FBB" w:rsidRPr="00174138" w:rsidRDefault="00826FBB" w:rsidP="0033273E">
            <w:pPr>
              <w:widowControl/>
              <w:suppressAutoHyphens w:val="0"/>
              <w:spacing w:before="0" w:after="0" w:line="240" w:lineRule="auto"/>
              <w:contextualSpacing w:val="0"/>
              <w:rPr>
                <w:rFonts w:eastAsia="Calibri" w:cs="Arial"/>
                <w:bCs/>
                <w:noProof/>
                <w:color w:val="auto"/>
                <w:sz w:val="14"/>
                <w:szCs w:val="14"/>
                <w:lang w:val="en-GB"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5A821AC5"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NACE G (comerț cu ridicata și cu amănuntul</w:t>
            </w:r>
          </w:p>
          <w:p w14:paraId="4C49EC61" w14:textId="77777777"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Comerț; Repararea autovehiculelor și</w:t>
            </w:r>
          </w:p>
          <w:p w14:paraId="61E0B53E" w14:textId="4AFE25E5"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Motociclete)</w:t>
            </w:r>
          </w:p>
        </w:tc>
        <w:tc>
          <w:tcPr>
            <w:tcW w:w="1179" w:type="dxa"/>
            <w:tcBorders>
              <w:top w:val="single" w:sz="4" w:space="0" w:color="auto"/>
              <w:left w:val="single" w:sz="4" w:space="0" w:color="auto"/>
              <w:bottom w:val="single" w:sz="4" w:space="0" w:color="auto"/>
              <w:right w:val="single" w:sz="4" w:space="0" w:color="auto"/>
            </w:tcBorders>
          </w:tcPr>
          <w:p w14:paraId="0495ED3C" w14:textId="11B50617"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06BAC4E2" w14:textId="50DB8CCA" w:rsidR="00826FBB" w:rsidRPr="00174138" w:rsidRDefault="00826FBB"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916" w:type="dxa"/>
            <w:vMerge/>
            <w:tcBorders>
              <w:left w:val="single" w:sz="4" w:space="0" w:color="auto"/>
              <w:right w:val="single" w:sz="4" w:space="0" w:color="auto"/>
            </w:tcBorders>
          </w:tcPr>
          <w:p w14:paraId="461FBA6A" w14:textId="1C14272D" w:rsidR="00826FBB" w:rsidRPr="00174138" w:rsidRDefault="00826FBB" w:rsidP="00EA6684">
            <w:pPr>
              <w:widowControl/>
              <w:suppressAutoHyphens w:val="0"/>
              <w:spacing w:before="0" w:after="0" w:line="240" w:lineRule="auto"/>
              <w:contextualSpacing w:val="0"/>
              <w:rPr>
                <w:rFonts w:eastAsia="Calibri" w:cs="Arial"/>
                <w:noProof/>
                <w:color w:val="auto"/>
                <w:sz w:val="14"/>
                <w:szCs w:val="14"/>
                <w:lang w:val="en-GB" w:eastAsia="en-US"/>
              </w:rPr>
            </w:pPr>
          </w:p>
        </w:tc>
        <w:tc>
          <w:tcPr>
            <w:tcW w:w="5670" w:type="dxa"/>
            <w:vMerge/>
            <w:tcBorders>
              <w:left w:val="single" w:sz="4" w:space="0" w:color="auto"/>
              <w:right w:val="single" w:sz="4" w:space="0" w:color="auto"/>
            </w:tcBorders>
          </w:tcPr>
          <w:p w14:paraId="4A3F43B5" w14:textId="77777777" w:rsidR="00826FBB" w:rsidRPr="00174138" w:rsidRDefault="00826FBB" w:rsidP="00F04625">
            <w:pPr>
              <w:suppressAutoHyphens w:val="0"/>
              <w:spacing w:before="0" w:after="60" w:line="240" w:lineRule="auto"/>
              <w:contextualSpacing w:val="0"/>
              <w:jc w:val="both"/>
              <w:rPr>
                <w:rFonts w:cs="Arial"/>
                <w:color w:val="auto"/>
                <w:sz w:val="14"/>
                <w:szCs w:val="14"/>
                <w:lang w:val="en-GB"/>
              </w:rPr>
            </w:pPr>
          </w:p>
        </w:tc>
      </w:tr>
      <w:tr w:rsidR="00826FBB" w:rsidRPr="00E3260F" w14:paraId="5FFA3EE5" w14:textId="77777777" w:rsidTr="00B22082">
        <w:trPr>
          <w:trHeight w:val="248"/>
        </w:trPr>
        <w:tc>
          <w:tcPr>
            <w:tcW w:w="881" w:type="dxa"/>
            <w:vMerge/>
            <w:tcBorders>
              <w:left w:val="single" w:sz="4" w:space="0" w:color="auto"/>
              <w:right w:val="single" w:sz="4" w:space="0" w:color="auto"/>
            </w:tcBorders>
            <w:vAlign w:val="center"/>
          </w:tcPr>
          <w:p w14:paraId="76080CE5" w14:textId="77777777" w:rsidR="00826FBB" w:rsidRPr="00174138" w:rsidRDefault="00826FBB" w:rsidP="0033273E">
            <w:pPr>
              <w:widowControl/>
              <w:suppressAutoHyphens w:val="0"/>
              <w:spacing w:before="0" w:after="0" w:line="240" w:lineRule="auto"/>
              <w:contextualSpacing w:val="0"/>
              <w:rPr>
                <w:rFonts w:eastAsia="Calibri" w:cs="Arial"/>
                <w:noProof/>
                <w:color w:val="auto"/>
                <w:sz w:val="14"/>
                <w:szCs w:val="14"/>
                <w:lang w:val="en-GB" w:eastAsia="en-US"/>
              </w:rPr>
            </w:pPr>
          </w:p>
        </w:tc>
        <w:tc>
          <w:tcPr>
            <w:tcW w:w="1020" w:type="dxa"/>
            <w:vMerge/>
            <w:tcBorders>
              <w:left w:val="single" w:sz="4" w:space="0" w:color="auto"/>
              <w:right w:val="single" w:sz="4" w:space="0" w:color="auto"/>
            </w:tcBorders>
            <w:vAlign w:val="center"/>
          </w:tcPr>
          <w:p w14:paraId="2DE3A800" w14:textId="77777777" w:rsidR="00826FBB" w:rsidRPr="00174138" w:rsidRDefault="00826FBB" w:rsidP="0033273E">
            <w:pPr>
              <w:widowControl/>
              <w:suppressAutoHyphens w:val="0"/>
              <w:spacing w:before="0" w:after="0" w:line="240" w:lineRule="auto"/>
              <w:contextualSpacing w:val="0"/>
              <w:rPr>
                <w:rFonts w:eastAsia="Calibri" w:cs="Arial"/>
                <w:bCs/>
                <w:noProof/>
                <w:color w:val="auto"/>
                <w:sz w:val="14"/>
                <w:szCs w:val="14"/>
                <w:lang w:val="en-GB"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49C2E1D0"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NACE H (Transporturi și</w:t>
            </w:r>
          </w:p>
          <w:p w14:paraId="11B0D6C1" w14:textId="390F159A"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Depozitare)</w:t>
            </w:r>
          </w:p>
        </w:tc>
        <w:tc>
          <w:tcPr>
            <w:tcW w:w="1179" w:type="dxa"/>
            <w:tcBorders>
              <w:top w:val="single" w:sz="4" w:space="0" w:color="auto"/>
              <w:left w:val="single" w:sz="4" w:space="0" w:color="auto"/>
              <w:bottom w:val="single" w:sz="4" w:space="0" w:color="auto"/>
              <w:right w:val="single" w:sz="4" w:space="0" w:color="auto"/>
            </w:tcBorders>
          </w:tcPr>
          <w:p w14:paraId="482B59EB" w14:textId="2D2F191E"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422561DD" w14:textId="5CCFDBC6"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vMerge/>
            <w:tcBorders>
              <w:left w:val="single" w:sz="4" w:space="0" w:color="auto"/>
              <w:right w:val="single" w:sz="4" w:space="0" w:color="auto"/>
            </w:tcBorders>
          </w:tcPr>
          <w:p w14:paraId="2F283ECB" w14:textId="4C2FBA32" w:rsidR="00826FBB" w:rsidRPr="0087494E" w:rsidRDefault="00826FBB" w:rsidP="00EA6684">
            <w:pPr>
              <w:widowControl/>
              <w:suppressAutoHyphens w:val="0"/>
              <w:spacing w:before="0" w:after="0" w:line="240" w:lineRule="auto"/>
              <w:contextualSpacing w:val="0"/>
              <w:rPr>
                <w:rFonts w:eastAsia="Calibri" w:cs="Arial"/>
                <w:noProof/>
                <w:color w:val="auto"/>
                <w:sz w:val="14"/>
                <w:szCs w:val="14"/>
                <w:lang w:eastAsia="en-US"/>
              </w:rPr>
            </w:pPr>
          </w:p>
        </w:tc>
        <w:tc>
          <w:tcPr>
            <w:tcW w:w="5670" w:type="dxa"/>
            <w:vMerge/>
            <w:tcBorders>
              <w:left w:val="single" w:sz="4" w:space="0" w:color="auto"/>
              <w:right w:val="single" w:sz="4" w:space="0" w:color="auto"/>
            </w:tcBorders>
          </w:tcPr>
          <w:p w14:paraId="35FDAD9D"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826FBB" w:rsidRPr="00E3260F" w14:paraId="4E4BC758" w14:textId="77777777" w:rsidTr="00B22082">
        <w:trPr>
          <w:trHeight w:val="70"/>
        </w:trPr>
        <w:tc>
          <w:tcPr>
            <w:tcW w:w="881" w:type="dxa"/>
            <w:vMerge/>
            <w:tcBorders>
              <w:left w:val="single" w:sz="4" w:space="0" w:color="auto"/>
              <w:bottom w:val="single" w:sz="4" w:space="0" w:color="auto"/>
              <w:right w:val="single" w:sz="4" w:space="0" w:color="auto"/>
            </w:tcBorders>
            <w:vAlign w:val="center"/>
          </w:tcPr>
          <w:p w14:paraId="03FEF392" w14:textId="77777777"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p>
        </w:tc>
        <w:tc>
          <w:tcPr>
            <w:tcW w:w="1020" w:type="dxa"/>
            <w:vMerge/>
            <w:tcBorders>
              <w:left w:val="single" w:sz="4" w:space="0" w:color="auto"/>
              <w:bottom w:val="single" w:sz="4" w:space="0" w:color="auto"/>
              <w:right w:val="single" w:sz="4" w:space="0" w:color="auto"/>
            </w:tcBorders>
            <w:vAlign w:val="center"/>
          </w:tcPr>
          <w:p w14:paraId="66D2DD50" w14:textId="77777777" w:rsidR="00826FBB" w:rsidRPr="0087494E" w:rsidRDefault="00826FBB"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42812585" w14:textId="498186DF" w:rsidR="00826FBB" w:rsidRPr="0087494E" w:rsidRDefault="00826FBB"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Codul NACE L (Activități imobiliare)</w:t>
            </w:r>
          </w:p>
        </w:tc>
        <w:tc>
          <w:tcPr>
            <w:tcW w:w="1179" w:type="dxa"/>
            <w:tcBorders>
              <w:top w:val="single" w:sz="4" w:space="0" w:color="auto"/>
              <w:left w:val="single" w:sz="4" w:space="0" w:color="auto"/>
              <w:bottom w:val="single" w:sz="4" w:space="0" w:color="auto"/>
              <w:right w:val="single" w:sz="4" w:space="0" w:color="auto"/>
            </w:tcBorders>
          </w:tcPr>
          <w:p w14:paraId="6F8948E3" w14:textId="19FBB737"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00BE2A0D" w14:textId="66104A35" w:rsidR="00826FBB" w:rsidRPr="0087494E" w:rsidRDefault="00826FBB"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vMerge/>
            <w:tcBorders>
              <w:left w:val="single" w:sz="4" w:space="0" w:color="auto"/>
              <w:bottom w:val="single" w:sz="4" w:space="0" w:color="auto"/>
              <w:right w:val="single" w:sz="4" w:space="0" w:color="auto"/>
            </w:tcBorders>
          </w:tcPr>
          <w:p w14:paraId="1A5FD252" w14:textId="4A3D9AAE" w:rsidR="00826FBB" w:rsidRPr="0087494E" w:rsidRDefault="00826FBB" w:rsidP="00EA6684">
            <w:pPr>
              <w:widowControl/>
              <w:suppressAutoHyphens w:val="0"/>
              <w:spacing w:before="0" w:after="0" w:line="240" w:lineRule="auto"/>
              <w:contextualSpacing w:val="0"/>
              <w:rPr>
                <w:rFonts w:eastAsia="Arial Regular" w:cs="Arial"/>
                <w:color w:val="auto"/>
                <w:sz w:val="14"/>
                <w:szCs w:val="14"/>
                <w:lang w:eastAsia="en-US"/>
              </w:rPr>
            </w:pPr>
          </w:p>
        </w:tc>
        <w:tc>
          <w:tcPr>
            <w:tcW w:w="5670" w:type="dxa"/>
            <w:vMerge/>
            <w:tcBorders>
              <w:left w:val="single" w:sz="4" w:space="0" w:color="auto"/>
              <w:bottom w:val="single" w:sz="4" w:space="0" w:color="auto"/>
              <w:right w:val="single" w:sz="4" w:space="0" w:color="auto"/>
            </w:tcBorders>
          </w:tcPr>
          <w:p w14:paraId="691463F6" w14:textId="77777777" w:rsidR="00826FBB" w:rsidRPr="0087494E" w:rsidRDefault="00826FBB" w:rsidP="00F04625">
            <w:pPr>
              <w:suppressAutoHyphens w:val="0"/>
              <w:spacing w:before="0" w:after="60" w:line="240" w:lineRule="auto"/>
              <w:contextualSpacing w:val="0"/>
              <w:jc w:val="both"/>
              <w:rPr>
                <w:rFonts w:cs="Arial"/>
                <w:color w:val="auto"/>
                <w:sz w:val="14"/>
                <w:szCs w:val="14"/>
              </w:rPr>
            </w:pPr>
          </w:p>
        </w:tc>
      </w:tr>
      <w:tr w:rsidR="00E71AC2" w:rsidRPr="00581AB9" w14:paraId="62870CAE" w14:textId="77777777" w:rsidTr="00B22082">
        <w:tc>
          <w:tcPr>
            <w:tcW w:w="881" w:type="dxa"/>
            <w:tcBorders>
              <w:top w:val="single" w:sz="4" w:space="0" w:color="auto"/>
              <w:left w:val="single" w:sz="4" w:space="0" w:color="auto"/>
              <w:bottom w:val="single" w:sz="4" w:space="0" w:color="auto"/>
              <w:right w:val="single" w:sz="4" w:space="0" w:color="auto"/>
            </w:tcBorders>
            <w:vAlign w:val="center"/>
            <w:hideMark/>
          </w:tcPr>
          <w:p w14:paraId="55F6E5DD" w14:textId="77777777" w:rsidR="00E71AC2" w:rsidRPr="00174138" w:rsidRDefault="00E71AC2" w:rsidP="0033273E">
            <w:pPr>
              <w:widowControl/>
              <w:suppressAutoHyphens w:val="0"/>
              <w:spacing w:before="0" w:after="0" w:line="240" w:lineRule="auto"/>
              <w:contextualSpacing w:val="0"/>
              <w:rPr>
                <w:rFonts w:eastAsia="Calibri" w:cs="Arial"/>
                <w:noProof/>
                <w:color w:val="auto"/>
                <w:sz w:val="14"/>
                <w:szCs w:val="14"/>
                <w:lang w:val="en-GB" w:eastAsia="en-US"/>
              </w:rPr>
            </w:pPr>
            <w:bookmarkStart w:id="15" w:name="_Hlk56012434"/>
            <w:r w:rsidRPr="00174138">
              <w:rPr>
                <w:rFonts w:eastAsia="Calibri" w:cs="Arial"/>
                <w:noProof/>
                <w:color w:val="auto"/>
                <w:sz w:val="14"/>
                <w:szCs w:val="14"/>
                <w:lang w:eastAsia="en-US"/>
              </w:rPr>
              <w:t>Biodiversitate</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BDD41FF" w14:textId="175DDF31" w:rsidR="00E71AC2" w:rsidRPr="0087494E" w:rsidRDefault="00E71AC2" w:rsidP="0033273E">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noProof/>
                <w:color w:val="auto"/>
                <w:sz w:val="14"/>
                <w:szCs w:val="14"/>
                <w:lang w:eastAsia="en-US"/>
              </w:rPr>
              <w:t>7.Activități care afectează în mod negativ zonele sensibile la biodiversitate</w:t>
            </w:r>
          </w:p>
          <w:p w14:paraId="7239D75C" w14:textId="77777777" w:rsidR="00E71AC2" w:rsidRPr="0087494E" w:rsidRDefault="00E71AC2" w:rsidP="0033273E">
            <w:pPr>
              <w:widowControl/>
              <w:suppressAutoHyphens w:val="0"/>
              <w:spacing w:before="0" w:after="0" w:line="240" w:lineRule="auto"/>
              <w:contextualSpacing w:val="0"/>
              <w:rPr>
                <w:rFonts w:eastAsia="Calibri" w:cs="Arial"/>
                <w:bCs/>
                <w:noProof/>
                <w:color w:val="auto"/>
                <w:sz w:val="14"/>
                <w:szCs w:val="1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14:paraId="3007CADA" w14:textId="77777777" w:rsidR="00E71AC2" w:rsidRPr="0087494E" w:rsidRDefault="00E71AC2" w:rsidP="0033273E">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bCs/>
                <w:noProof/>
                <w:color w:val="auto"/>
                <w:sz w:val="14"/>
                <w:szCs w:val="14"/>
                <w:lang w:eastAsia="en-US"/>
              </w:rPr>
              <w:t>Ponderea investițiilor în societățile în care s-a investit cu amplasamente/operațiuni situate în sau în apropierea zonelor sensibile la biodiversitate în care activitățile acestor societăți în care s-a investit afectează negativ aceste zone</w:t>
            </w:r>
          </w:p>
        </w:tc>
        <w:tc>
          <w:tcPr>
            <w:tcW w:w="1179" w:type="dxa"/>
            <w:tcBorders>
              <w:top w:val="single" w:sz="4" w:space="0" w:color="auto"/>
              <w:left w:val="single" w:sz="4" w:space="0" w:color="auto"/>
              <w:bottom w:val="single" w:sz="4" w:space="0" w:color="auto"/>
              <w:right w:val="single" w:sz="4" w:space="0" w:color="auto"/>
            </w:tcBorders>
          </w:tcPr>
          <w:p w14:paraId="35FDCC5C" w14:textId="502B82D6"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6495C3FB" w14:textId="62A0DC2D"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tcPr>
          <w:p w14:paraId="7A3B0155" w14:textId="35BC1D86" w:rsidR="00E71AC2" w:rsidRPr="0087494E" w:rsidRDefault="00EB6F2A" w:rsidP="00EA6684">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bCs/>
                <w:noProof/>
                <w:color w:val="auto"/>
                <w:sz w:val="14"/>
                <w:szCs w:val="14"/>
                <w:lang w:eastAsia="en-US"/>
              </w:rPr>
              <w:t>Ponderea investițiilor în societățile în care s-a investit cu amplasamente/operațiuni situate în sau în apropierea zonelor sensibile la biodiversitate, unde activitățile lor ar putea afecta negativ biodiversitatea</w:t>
            </w:r>
            <w:r w:rsidR="00E71AC2" w:rsidRPr="00174138">
              <w:rPr>
                <w:rFonts w:eastAsia="Calibri" w:cs="Arial"/>
                <w:noProof/>
                <w:color w:val="auto"/>
                <w:sz w:val="14"/>
                <w:szCs w:val="14"/>
                <w:lang w:eastAsia="en-US"/>
              </w:rPr>
              <w:t xml:space="preserve"> locală.</w:t>
            </w:r>
          </w:p>
          <w:p w14:paraId="09E7C7A4" w14:textId="77777777" w:rsidR="00943108" w:rsidRPr="0087494E" w:rsidRDefault="00943108" w:rsidP="00EA6684">
            <w:pPr>
              <w:widowControl/>
              <w:suppressAutoHyphens w:val="0"/>
              <w:spacing w:before="0" w:after="0" w:line="240" w:lineRule="auto"/>
              <w:contextualSpacing w:val="0"/>
              <w:rPr>
                <w:rFonts w:eastAsia="Calibri" w:cs="Arial"/>
                <w:noProof/>
                <w:color w:val="auto"/>
                <w:sz w:val="14"/>
                <w:szCs w:val="14"/>
                <w:lang w:eastAsia="en-US"/>
              </w:rPr>
            </w:pPr>
          </w:p>
          <w:p w14:paraId="608C56DD" w14:textId="03793271" w:rsidR="00943108" w:rsidRPr="0087494E" w:rsidRDefault="00943108" w:rsidP="00EA6684">
            <w:pPr>
              <w:widowControl/>
              <w:suppressAutoHyphens w:val="0"/>
              <w:spacing w:before="0" w:after="0" w:line="240" w:lineRule="auto"/>
              <w:contextualSpacing w:val="0"/>
              <w:rPr>
                <w:rFonts w:eastAsia="Calibri" w:cs="Arial"/>
                <w:noProof/>
                <w:color w:val="auto"/>
                <w:sz w:val="14"/>
                <w:szCs w:val="14"/>
                <w:lang w:eastAsia="en-US"/>
              </w:rPr>
            </w:pPr>
          </w:p>
        </w:tc>
        <w:tc>
          <w:tcPr>
            <w:tcW w:w="5670" w:type="dxa"/>
            <w:tcBorders>
              <w:top w:val="single" w:sz="4" w:space="0" w:color="auto"/>
              <w:left w:val="single" w:sz="4" w:space="0" w:color="auto"/>
              <w:bottom w:val="single" w:sz="4" w:space="0" w:color="auto"/>
              <w:right w:val="single" w:sz="4" w:space="0" w:color="auto"/>
            </w:tcBorders>
          </w:tcPr>
          <w:p w14:paraId="02B087D0" w14:textId="77777777" w:rsidR="005124DD" w:rsidRPr="0087494E" w:rsidRDefault="005124DD" w:rsidP="00F04625">
            <w:pPr>
              <w:spacing w:before="0" w:after="60" w:line="240" w:lineRule="auto"/>
              <w:contextualSpacing w:val="0"/>
              <w:jc w:val="both"/>
              <w:rPr>
                <w:rFonts w:cs="Arial"/>
                <w:color w:val="auto"/>
                <w:sz w:val="14"/>
                <w:szCs w:val="14"/>
              </w:rPr>
            </w:pPr>
          </w:p>
          <w:p w14:paraId="6CC4AF35" w14:textId="2166E01D" w:rsidR="00E71AC2" w:rsidRPr="0087494E" w:rsidRDefault="00E71AC2" w:rsidP="00F04625">
            <w:pPr>
              <w:spacing w:before="0" w:after="60" w:line="240" w:lineRule="auto"/>
              <w:contextualSpacing w:val="0"/>
              <w:jc w:val="both"/>
              <w:rPr>
                <w:rFonts w:cs="Arial"/>
                <w:color w:val="auto"/>
                <w:sz w:val="14"/>
                <w:szCs w:val="14"/>
              </w:rPr>
            </w:pPr>
            <w:r w:rsidRPr="00174138">
              <w:rPr>
                <w:rFonts w:cs="Arial"/>
                <w:color w:val="auto"/>
                <w:sz w:val="14"/>
                <w:szCs w:val="14"/>
              </w:rPr>
              <w:t xml:space="preserve">- </w:t>
            </w:r>
            <w:r w:rsidRPr="00174138">
              <w:rPr>
                <w:rFonts w:cs="Arial"/>
                <w:b/>
                <w:bCs/>
                <w:color w:val="auto"/>
                <w:sz w:val="14"/>
                <w:szCs w:val="14"/>
              </w:rPr>
              <w:t xml:space="preserve">Screening negativ: </w:t>
            </w:r>
            <w:r w:rsidRPr="00174138">
              <w:rPr>
                <w:rFonts w:cs="Arial"/>
                <w:color w:val="auto"/>
                <w:sz w:val="14"/>
                <w:szCs w:val="14"/>
              </w:rPr>
              <w:t>Generali exclude investițiile în companii (i) implicate în daune grave aduse mediului, care includ cazurile în care activitățile companiei au un impact negativ asupra biodiversității zonelor sensibile sau, mai mult, în general, orice companie a cărei activitate a avut un impact sever și extins asupra biodiversității (de exemplu, extracția nisipurilor bituminoase) (ii) cu rating ESG deosebit de scăzut (întârziați) față de omologii din sector,  în care tema biodiversității este, de asemenea, integrată în ratingul ESG aplicat pentru examinarea portofoliului, cu o atenție specifică acordată oricăror incidente și controverse legate de biodiversitate, relevante în special pentru analiza sectoarelor cu potențial ridicat de impact asupra zonelor sensibile la biodiversitate (cum ar fi energia, materialele, industria, utilitățile).</w:t>
            </w:r>
          </w:p>
          <w:p w14:paraId="1A520AE7" w14:textId="51815AAA" w:rsidR="00E5373D" w:rsidRPr="0087494E" w:rsidRDefault="00E5373D" w:rsidP="00F04625">
            <w:pPr>
              <w:widowControl/>
              <w:suppressAutoHyphens w:val="0"/>
              <w:spacing w:before="0" w:after="60" w:line="240" w:lineRule="auto"/>
              <w:contextualSpacing w:val="0"/>
              <w:jc w:val="both"/>
              <w:rPr>
                <w:rFonts w:eastAsia="Calibri" w:cs="Arial"/>
                <w:color w:val="auto"/>
                <w:sz w:val="14"/>
                <w:szCs w:val="14"/>
                <w:lang w:eastAsia="en-US"/>
              </w:rPr>
            </w:pPr>
            <w:r w:rsidRPr="00174138">
              <w:rPr>
                <w:color w:val="auto"/>
                <w:sz w:val="14"/>
                <w:szCs w:val="14"/>
              </w:rPr>
              <w:t xml:space="preserve">- </w:t>
            </w:r>
            <w:r w:rsidRPr="00174138">
              <w:rPr>
                <w:b/>
                <w:bCs/>
                <w:color w:val="auto"/>
                <w:sz w:val="14"/>
                <w:szCs w:val="14"/>
              </w:rPr>
              <w:t>Proprietate activă</w:t>
            </w:r>
            <w:r w:rsidRPr="00174138">
              <w:rPr>
                <w:color w:val="auto"/>
                <w:sz w:val="14"/>
                <w:szCs w:val="14"/>
              </w:rPr>
              <w:t xml:space="preserve">: (i) </w:t>
            </w:r>
            <w:r w:rsidR="0061619A" w:rsidRPr="006B10BA">
              <w:rPr>
                <w:sz w:val="14"/>
                <w:szCs w:val="14"/>
              </w:rPr>
              <w:t xml:space="preserve">În ceea ce privește dialogul cu emitenții, începând cu 2023, Generali a implementat un plan de </w:t>
            </w:r>
            <w:r w:rsidR="00AF680E">
              <w:rPr>
                <w:sz w:val="14"/>
                <w:szCs w:val="14"/>
              </w:rPr>
              <w:t xml:space="preserve">angajament </w:t>
            </w:r>
            <w:r w:rsidR="0061619A" w:rsidRPr="006B10BA">
              <w:rPr>
                <w:sz w:val="14"/>
                <w:szCs w:val="14"/>
              </w:rPr>
              <w:t xml:space="preserve">tematică privind biodiversitatea, angajându-se în discuții cu 20 de companii selectate din portofoliul său de investiții. În special, Grupul a colaborat direct cu 8 dintre cele mai importante companii din portofoliile sale, analizând strategiile de sustenabilitate și evaluând alinierea stimulentelor de top management cu obiectivele de mediu. </w:t>
            </w:r>
            <w:r w:rsidR="0061619A" w:rsidRPr="002E41E0">
              <w:rPr>
                <w:sz w:val="14"/>
                <w:szCs w:val="14"/>
                <w:lang w:val="en-US"/>
              </w:rPr>
              <w:t xml:space="preserve">De </w:t>
            </w:r>
            <w:proofErr w:type="spellStart"/>
            <w:r w:rsidR="0061619A" w:rsidRPr="002E41E0">
              <w:rPr>
                <w:sz w:val="14"/>
                <w:szCs w:val="14"/>
                <w:lang w:val="en-US"/>
              </w:rPr>
              <w:t>asemenea</w:t>
            </w:r>
            <w:proofErr w:type="spellEnd"/>
            <w:r w:rsidR="0061619A" w:rsidRPr="002E41E0">
              <w:rPr>
                <w:sz w:val="14"/>
                <w:szCs w:val="14"/>
                <w:lang w:val="en-US"/>
              </w:rPr>
              <w:t xml:space="preserve">, a </w:t>
            </w:r>
            <w:proofErr w:type="spellStart"/>
            <w:r w:rsidR="0061619A" w:rsidRPr="002E41E0">
              <w:rPr>
                <w:sz w:val="14"/>
                <w:szCs w:val="14"/>
                <w:lang w:val="en-US"/>
              </w:rPr>
              <w:t>lansat</w:t>
            </w:r>
            <w:proofErr w:type="spellEnd"/>
            <w:r w:rsidR="0061619A" w:rsidRPr="002E41E0">
              <w:rPr>
                <w:sz w:val="14"/>
                <w:szCs w:val="14"/>
                <w:lang w:val="en-US"/>
              </w:rPr>
              <w:t xml:space="preserve"> 12 </w:t>
            </w:r>
            <w:proofErr w:type="spellStart"/>
            <w:r w:rsidR="0061619A" w:rsidRPr="002E41E0">
              <w:rPr>
                <w:sz w:val="14"/>
                <w:szCs w:val="14"/>
                <w:lang w:val="en-US"/>
              </w:rPr>
              <w:t>activități</w:t>
            </w:r>
            <w:proofErr w:type="spellEnd"/>
            <w:r w:rsidR="0061619A" w:rsidRPr="002E41E0">
              <w:rPr>
                <w:sz w:val="14"/>
                <w:szCs w:val="14"/>
                <w:lang w:val="en-US"/>
              </w:rPr>
              <w:t xml:space="preserve"> </w:t>
            </w:r>
            <w:proofErr w:type="spellStart"/>
            <w:r w:rsidR="0061619A" w:rsidRPr="002E41E0">
              <w:rPr>
                <w:sz w:val="14"/>
                <w:szCs w:val="14"/>
                <w:lang w:val="en-US"/>
              </w:rPr>
              <w:t>în</w:t>
            </w:r>
            <w:proofErr w:type="spellEnd"/>
            <w:r w:rsidR="0061619A" w:rsidRPr="002E41E0">
              <w:rPr>
                <w:sz w:val="14"/>
                <w:szCs w:val="14"/>
                <w:lang w:val="en-US"/>
              </w:rPr>
              <w:t xml:space="preserve"> </w:t>
            </w:r>
            <w:proofErr w:type="spellStart"/>
            <w:r w:rsidR="0061619A" w:rsidRPr="002E41E0">
              <w:rPr>
                <w:sz w:val="14"/>
                <w:szCs w:val="14"/>
                <w:lang w:val="en-US"/>
              </w:rPr>
              <w:t>cadrul</w:t>
            </w:r>
            <w:proofErr w:type="spellEnd"/>
            <w:r w:rsidR="0061619A" w:rsidRPr="002E41E0">
              <w:rPr>
                <w:sz w:val="14"/>
                <w:szCs w:val="14"/>
                <w:lang w:val="en-US"/>
              </w:rPr>
              <w:t xml:space="preserve"> </w:t>
            </w:r>
            <w:proofErr w:type="spellStart"/>
            <w:r w:rsidR="0061619A" w:rsidRPr="002E41E0">
              <w:rPr>
                <w:sz w:val="14"/>
                <w:szCs w:val="14"/>
                <w:lang w:val="en-US"/>
              </w:rPr>
              <w:t>inițiativei</w:t>
            </w:r>
            <w:proofErr w:type="spellEnd"/>
            <w:r w:rsidR="0061619A" w:rsidRPr="002E41E0">
              <w:rPr>
                <w:sz w:val="14"/>
                <w:szCs w:val="14"/>
                <w:lang w:val="en-US"/>
              </w:rPr>
              <w:t xml:space="preserve"> de </w:t>
            </w:r>
            <w:proofErr w:type="spellStart"/>
            <w:r w:rsidR="002E41E0" w:rsidRPr="002E41E0">
              <w:rPr>
                <w:sz w:val="14"/>
                <w:szCs w:val="14"/>
                <w:lang w:val="en-US"/>
              </w:rPr>
              <w:t>a</w:t>
            </w:r>
            <w:r w:rsidR="002E41E0">
              <w:rPr>
                <w:sz w:val="14"/>
                <w:szCs w:val="14"/>
                <w:lang w:val="en-US"/>
              </w:rPr>
              <w:t>ngajament</w:t>
            </w:r>
            <w:proofErr w:type="spellEnd"/>
            <w:r w:rsidR="0061619A" w:rsidRPr="002E41E0">
              <w:rPr>
                <w:sz w:val="14"/>
                <w:szCs w:val="14"/>
                <w:lang w:val="en-US"/>
              </w:rPr>
              <w:t xml:space="preserve"> </w:t>
            </w:r>
            <w:proofErr w:type="spellStart"/>
            <w:r w:rsidR="0061619A" w:rsidRPr="002E41E0">
              <w:rPr>
                <w:sz w:val="14"/>
                <w:szCs w:val="14"/>
                <w:lang w:val="en-US"/>
              </w:rPr>
              <w:lastRenderedPageBreak/>
              <w:t>colectivă</w:t>
            </w:r>
            <w:proofErr w:type="spellEnd"/>
            <w:r w:rsidR="0061619A" w:rsidRPr="002E41E0">
              <w:rPr>
                <w:sz w:val="14"/>
                <w:szCs w:val="14"/>
                <w:lang w:val="en-US"/>
              </w:rPr>
              <w:t xml:space="preserve"> Nature Action 100. </w:t>
            </w:r>
            <w:r w:rsidR="0061619A" w:rsidRPr="006B10BA">
              <w:rPr>
                <w:sz w:val="14"/>
                <w:szCs w:val="14"/>
              </w:rPr>
              <w:t>În ceea ce privește sectoarele industriale, angajamentele sunt în mare parte legate de sectorul bunurilor de consum de bază</w:t>
            </w:r>
            <w:r w:rsidRPr="00174138">
              <w:rPr>
                <w:color w:val="auto"/>
                <w:sz w:val="14"/>
                <w:szCs w:val="14"/>
              </w:rPr>
              <w:t xml:space="preserve">; (ii) Generali în </w:t>
            </w:r>
            <w:r w:rsidR="00CA6079" w:rsidRPr="00174138">
              <w:rPr>
                <w:color w:val="auto"/>
                <w:sz w:val="14"/>
                <w:szCs w:val="14"/>
              </w:rPr>
              <w:t xml:space="preserve">2024 </w:t>
            </w:r>
            <w:r w:rsidRPr="00174138">
              <w:rPr>
                <w:color w:val="auto"/>
                <w:sz w:val="14"/>
                <w:szCs w:val="14"/>
              </w:rPr>
              <w:t xml:space="preserve">a votat cu principii de vot îmbunătățite privind biodiversitatea, să solicite companiilor să evalueze cu atenție riscurile legate de factorii de mediu semnificativi (precum și să dezvăluie rezultatele unei astfel de evaluări, măsurile de management în vigoare și rezultatele obținute) și să-și tragă la răspundere directorii în situații de încălcări grave sau sistematice sau de lipsă de procese și mecanisme de conformitate Generali a aliniat principiile de vot ale grupului cu conținutul obiectivelor de mediu ale taxonomiei UE Regulamentul 2020/852 și să folosească voturile pentru a trage la răspundere companiile atunci când acestea afectează negativ zonele sensibile la biodiversitate. </w:t>
            </w:r>
            <w:r w:rsidRPr="00174138">
              <w:rPr>
                <w:rFonts w:eastAsia="Calibri" w:cs="Arial"/>
                <w:color w:val="auto"/>
                <w:sz w:val="14"/>
                <w:szCs w:val="14"/>
                <w:lang w:eastAsia="en-US"/>
              </w:rPr>
              <w:t xml:space="preserve">(iii) În plus, Generali a susținut activități instituționale importante privind biodiversitatea, în cadrul rețelelor și afilierilor noastre. Pentru informații detaliate, consultați </w:t>
            </w:r>
            <w:r w:rsidR="009E7559">
              <w:rPr>
                <w:rFonts w:eastAsia="Calibri" w:cs="Arial"/>
                <w:color w:val="auto"/>
                <w:sz w:val="14"/>
                <w:szCs w:val="14"/>
                <w:lang w:eastAsia="en-US"/>
              </w:rPr>
              <w:t>Raportul privind acționariatul activ al grupului din 2024 este disponibil pe site-ul Assicurazioni Generali.</w:t>
            </w:r>
          </w:p>
          <w:p w14:paraId="02ED3E98" w14:textId="373B61B1" w:rsidR="00EC1D36" w:rsidRPr="00174138" w:rsidRDefault="00E42DCC" w:rsidP="00F04625">
            <w:pPr>
              <w:spacing w:before="0" w:after="60" w:line="240" w:lineRule="auto"/>
              <w:contextualSpacing w:val="0"/>
              <w:jc w:val="both"/>
              <w:rPr>
                <w:sz w:val="14"/>
                <w:szCs w:val="14"/>
                <w:lang w:val="en-GB"/>
              </w:rPr>
            </w:pPr>
            <w:r w:rsidRPr="00174138">
              <w:rPr>
                <w:sz w:val="14"/>
                <w:szCs w:val="14"/>
              </w:rPr>
              <w:t>.</w:t>
            </w:r>
          </w:p>
        </w:tc>
      </w:tr>
      <w:bookmarkEnd w:id="15"/>
      <w:tr w:rsidR="00E71AC2" w:rsidRPr="00E3260F" w14:paraId="6D5C7370" w14:textId="77777777" w:rsidTr="00B22082">
        <w:tc>
          <w:tcPr>
            <w:tcW w:w="881" w:type="dxa"/>
            <w:tcBorders>
              <w:top w:val="single" w:sz="4" w:space="0" w:color="auto"/>
              <w:left w:val="single" w:sz="4" w:space="0" w:color="auto"/>
              <w:bottom w:val="single" w:sz="4" w:space="0" w:color="auto"/>
              <w:right w:val="single" w:sz="4" w:space="0" w:color="auto"/>
            </w:tcBorders>
            <w:vAlign w:val="center"/>
            <w:hideMark/>
          </w:tcPr>
          <w:p w14:paraId="71FE69A5" w14:textId="77777777" w:rsidR="00E71AC2" w:rsidRPr="00174138" w:rsidRDefault="00E71AC2"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lastRenderedPageBreak/>
              <w:t>Apă</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827C824" w14:textId="720DCED3" w:rsidR="00E71AC2" w:rsidRPr="00174138" w:rsidRDefault="00E71AC2" w:rsidP="0033273E">
            <w:pPr>
              <w:widowControl/>
              <w:suppressAutoHyphens w:val="0"/>
              <w:spacing w:before="0" w:after="0" w:line="240" w:lineRule="auto"/>
              <w:contextualSpacing w:val="0"/>
              <w:rPr>
                <w:rFonts w:eastAsia="Calibri" w:cs="Arial"/>
                <w:bCs/>
                <w:noProof/>
                <w:color w:val="auto"/>
                <w:sz w:val="14"/>
                <w:szCs w:val="14"/>
                <w:lang w:val="en-GB" w:eastAsia="en-US"/>
              </w:rPr>
            </w:pPr>
            <w:r w:rsidRPr="00174138">
              <w:rPr>
                <w:rFonts w:eastAsia="Calibri" w:cs="Arial"/>
                <w:bCs/>
                <w:noProof/>
                <w:color w:val="auto"/>
                <w:sz w:val="14"/>
                <w:szCs w:val="14"/>
                <w:lang w:eastAsia="en-US"/>
              </w:rPr>
              <w:t>8.Emisii în apă</w:t>
            </w:r>
          </w:p>
        </w:tc>
        <w:tc>
          <w:tcPr>
            <w:tcW w:w="2608" w:type="dxa"/>
            <w:tcBorders>
              <w:top w:val="single" w:sz="4" w:space="0" w:color="auto"/>
              <w:left w:val="single" w:sz="4" w:space="0" w:color="auto"/>
              <w:bottom w:val="single" w:sz="4" w:space="0" w:color="auto"/>
              <w:right w:val="single" w:sz="4" w:space="0" w:color="auto"/>
            </w:tcBorders>
            <w:vAlign w:val="center"/>
            <w:hideMark/>
          </w:tcPr>
          <w:p w14:paraId="3935E7D1" w14:textId="77777777" w:rsidR="00E71AC2" w:rsidRPr="0087494E" w:rsidRDefault="00E71AC2"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Tone de emisii în apă generate de societățile în care s-a investit per milion EUR investit, exprimate ca medie ponderată</w:t>
            </w:r>
          </w:p>
        </w:tc>
        <w:tc>
          <w:tcPr>
            <w:tcW w:w="1179" w:type="dxa"/>
            <w:tcBorders>
              <w:top w:val="single" w:sz="4" w:space="0" w:color="auto"/>
              <w:left w:val="single" w:sz="4" w:space="0" w:color="auto"/>
              <w:bottom w:val="single" w:sz="4" w:space="0" w:color="auto"/>
              <w:right w:val="single" w:sz="4" w:space="0" w:color="auto"/>
            </w:tcBorders>
          </w:tcPr>
          <w:p w14:paraId="640B157D" w14:textId="7886005C"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18445114" w14:textId="12BD056E"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tcPr>
          <w:p w14:paraId="0FE718A0" w14:textId="5D0787CA"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Totalul anual al apelor uzate deversate (tone metrice raportate) în apele de suprafață ca urmare a activităților industriale sau de producție asociate cu 1 milion EUR investit în portofoliu. Emisiile de apă ale companiilor sunt repartizate între toate acțiunile și obligațiunile în circulație (pe baza celei mai recente valori a întreprinderii disponibile, inclusiv numerarul).</w:t>
            </w:r>
          </w:p>
        </w:tc>
        <w:tc>
          <w:tcPr>
            <w:tcW w:w="5670" w:type="dxa"/>
            <w:tcBorders>
              <w:top w:val="single" w:sz="4" w:space="0" w:color="auto"/>
              <w:left w:val="single" w:sz="4" w:space="0" w:color="auto"/>
              <w:bottom w:val="single" w:sz="4" w:space="0" w:color="auto"/>
              <w:right w:val="single" w:sz="4" w:space="0" w:color="auto"/>
            </w:tcBorders>
            <w:vAlign w:val="center"/>
          </w:tcPr>
          <w:p w14:paraId="2FA879FC" w14:textId="74A7E5FD" w:rsidR="00180600" w:rsidRPr="0087494E" w:rsidRDefault="00E71AC2" w:rsidP="00934DE6">
            <w:pPr>
              <w:widowControl/>
              <w:suppressAutoHyphens w:val="0"/>
              <w:spacing w:before="0" w:after="60" w:line="240" w:lineRule="auto"/>
              <w:contextualSpacing w:val="0"/>
              <w:jc w:val="both"/>
              <w:rPr>
                <w:color w:val="auto"/>
                <w:sz w:val="14"/>
                <w:szCs w:val="14"/>
              </w:rPr>
            </w:pPr>
            <w:r w:rsidRPr="00174138">
              <w:rPr>
                <w:rFonts w:cs="Arial"/>
                <w:b/>
                <w:bCs/>
                <w:color w:val="auto"/>
                <w:sz w:val="14"/>
                <w:szCs w:val="14"/>
              </w:rPr>
              <w:t>- Screening negativ:</w:t>
            </w:r>
            <w:r w:rsidRPr="00174138">
              <w:rPr>
                <w:rFonts w:cs="Arial"/>
                <w:color w:val="auto"/>
                <w:sz w:val="14"/>
                <w:szCs w:val="14"/>
              </w:rPr>
              <w:t xml:space="preserve"> Generali</w:t>
            </w:r>
            <w:r w:rsidRPr="00174138">
              <w:rPr>
                <w:rFonts w:cs="Arial"/>
                <w:bCs/>
                <w:color w:val="auto"/>
                <w:sz w:val="14"/>
                <w:szCs w:val="14"/>
              </w:rPr>
              <w:t xml:space="preserve"> integrează considerația la nivel de sector în abordările ESG, prin aplicarea ratingurilor ESG în evaluarea investițiilor (de exemplu, excluzând întârziații ESG). Ratingul ESG aplicat ia în considerare, acolo unde este relevant pentru sector (de exemplu, energie, materiale, utilități), și subiecte cheie precum stresul hidric și cadrul general al companiei pentru gestionarea resurselor de apă și reducerea impactului asupra mediului. O atenție deosebită este acordată controverselor legate de emisiile toxice, inclusiv scurgerile și eliberările de apă care au un impact grav asupra mediului și a comunităților locale. Companiile implicate în controverse foarte grave privind emisiile de apă pot fi excluse din investițiile Grupului în conformitate cu cadrul de screening negativ pentru controversele ESG.</w:t>
            </w:r>
          </w:p>
        </w:tc>
      </w:tr>
      <w:tr w:rsidR="00E71AC2" w:rsidRPr="00E3260F" w14:paraId="5F6A4248" w14:textId="77777777" w:rsidTr="00B22082">
        <w:tc>
          <w:tcPr>
            <w:tcW w:w="881" w:type="dxa"/>
            <w:tcBorders>
              <w:top w:val="single" w:sz="4" w:space="0" w:color="auto"/>
              <w:left w:val="single" w:sz="4" w:space="0" w:color="auto"/>
              <w:bottom w:val="single" w:sz="4" w:space="0" w:color="auto"/>
              <w:right w:val="single" w:sz="4" w:space="0" w:color="auto"/>
            </w:tcBorders>
            <w:vAlign w:val="center"/>
            <w:hideMark/>
          </w:tcPr>
          <w:p w14:paraId="0EC5870D" w14:textId="77777777" w:rsidR="00E71AC2" w:rsidRPr="00174138" w:rsidRDefault="00E71AC2"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Deșeu</w:t>
            </w:r>
          </w:p>
        </w:tc>
        <w:tc>
          <w:tcPr>
            <w:tcW w:w="1020" w:type="dxa"/>
            <w:tcBorders>
              <w:top w:val="single" w:sz="4" w:space="0" w:color="auto"/>
              <w:left w:val="single" w:sz="4" w:space="0" w:color="auto"/>
              <w:bottom w:val="single" w:sz="4" w:space="0" w:color="auto"/>
              <w:right w:val="single" w:sz="4" w:space="0" w:color="auto"/>
            </w:tcBorders>
            <w:vAlign w:val="center"/>
            <w:hideMark/>
          </w:tcPr>
          <w:p w14:paraId="4ADABED6" w14:textId="0881D5CB" w:rsidR="00E71AC2" w:rsidRPr="00174138" w:rsidRDefault="00E71AC2" w:rsidP="0033273E">
            <w:pPr>
              <w:widowControl/>
              <w:suppressAutoHyphens w:val="0"/>
              <w:spacing w:before="0" w:after="0" w:line="240" w:lineRule="auto"/>
              <w:contextualSpacing w:val="0"/>
              <w:rPr>
                <w:rFonts w:eastAsia="Calibri" w:cs="Arial"/>
                <w:bCs/>
                <w:noProof/>
                <w:color w:val="auto"/>
                <w:sz w:val="14"/>
                <w:szCs w:val="14"/>
                <w:lang w:val="en-GB" w:eastAsia="en-US"/>
              </w:rPr>
            </w:pPr>
            <w:r w:rsidRPr="00174138">
              <w:rPr>
                <w:rFonts w:eastAsia="Calibri" w:cs="Arial"/>
                <w:bCs/>
                <w:noProof/>
                <w:color w:val="auto"/>
                <w:sz w:val="14"/>
                <w:szCs w:val="14"/>
                <w:lang w:eastAsia="en-US"/>
              </w:rPr>
              <w:t>9.Raportul deșeurilor periculoase și al deșeurilor radioactive</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4D7EBA9" w14:textId="77777777" w:rsidR="00E71AC2" w:rsidRPr="0087494E" w:rsidRDefault="00E71AC2"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Tone de deșeuri periculoase</w:t>
            </w:r>
            <w:r w:rsidRPr="00174138">
              <w:rPr>
                <w:rFonts w:eastAsia="Calibri" w:cs="Arial"/>
                <w:bCs/>
                <w:noProof/>
                <w:color w:val="auto"/>
                <w:sz w:val="14"/>
                <w:szCs w:val="14"/>
                <w:lang w:eastAsia="en-US"/>
              </w:rPr>
              <w:t xml:space="preserve"> și deșeuri radioactive</w:t>
            </w:r>
            <w:r w:rsidRPr="00174138">
              <w:rPr>
                <w:rFonts w:eastAsia="Calibri" w:cs="Arial"/>
                <w:noProof/>
                <w:color w:val="auto"/>
                <w:sz w:val="14"/>
                <w:szCs w:val="14"/>
                <w:lang w:eastAsia="en-US"/>
              </w:rPr>
              <w:t xml:space="preserve"> generate de societățile în care s-a investit per milion EUR investit, exprimate ca medie ponderată</w:t>
            </w:r>
          </w:p>
        </w:tc>
        <w:tc>
          <w:tcPr>
            <w:tcW w:w="1179" w:type="dxa"/>
            <w:tcBorders>
              <w:top w:val="single" w:sz="4" w:space="0" w:color="auto"/>
              <w:left w:val="single" w:sz="4" w:space="0" w:color="auto"/>
              <w:bottom w:val="single" w:sz="4" w:space="0" w:color="auto"/>
              <w:right w:val="single" w:sz="4" w:space="0" w:color="auto"/>
            </w:tcBorders>
          </w:tcPr>
          <w:p w14:paraId="2A789D05" w14:textId="49C20B52"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702C8E7F" w14:textId="56E5D24F"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tcPr>
          <w:p w14:paraId="78639B7D" w14:textId="6D6C2608"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Totalul anual al deșeurilor periculoase (tone metrice raportate) asociat cu 1 milion de euro investit în portofoliu. Deșeurile periculoase ale companiilor sunt repartizate între toate acțiunile și obligațiunile în circulație (pe baza celei mai recente valori de întreprindere disponibile, inclusiv numerar).</w:t>
            </w:r>
          </w:p>
        </w:tc>
        <w:tc>
          <w:tcPr>
            <w:tcW w:w="5670" w:type="dxa"/>
            <w:tcBorders>
              <w:top w:val="single" w:sz="4" w:space="0" w:color="auto"/>
              <w:left w:val="single" w:sz="4" w:space="0" w:color="auto"/>
              <w:bottom w:val="single" w:sz="4" w:space="0" w:color="auto"/>
              <w:right w:val="single" w:sz="4" w:space="0" w:color="auto"/>
            </w:tcBorders>
            <w:vAlign w:val="center"/>
          </w:tcPr>
          <w:p w14:paraId="14AB9583" w14:textId="5ADA74E9" w:rsidR="00E71AC2" w:rsidRPr="0087494E" w:rsidRDefault="00E71AC2" w:rsidP="00F04625">
            <w:pPr>
              <w:spacing w:before="0" w:after="60" w:line="240" w:lineRule="auto"/>
              <w:contextualSpacing w:val="0"/>
              <w:jc w:val="both"/>
              <w:rPr>
                <w:rFonts w:cs="Arial"/>
                <w:color w:val="auto"/>
                <w:sz w:val="14"/>
                <w:szCs w:val="14"/>
              </w:rPr>
            </w:pPr>
            <w:r w:rsidRPr="0087494E">
              <w:rPr>
                <w:rFonts w:cs="Arial"/>
                <w:b/>
                <w:bCs/>
                <w:color w:val="auto"/>
                <w:sz w:val="14"/>
                <w:szCs w:val="14"/>
              </w:rPr>
              <w:t xml:space="preserve">- Screening negativ: </w:t>
            </w:r>
            <w:r w:rsidRPr="0087494E">
              <w:rPr>
                <w:rFonts w:cs="Arial"/>
                <w:bCs/>
                <w:color w:val="auto"/>
                <w:sz w:val="14"/>
                <w:szCs w:val="14"/>
              </w:rPr>
              <w:t xml:space="preserve">Generali integrează considerația la nivel de sector în abordările ESG, prin aplicarea ratingurilor ESG în evaluarea investițiilor (de exemplu, excluzând întârziații ESG). Ratingul ESG aplicat ia în considerare, acolo unde este relevant pentru sectorul în cauză (de exemplu, energie, materiale, substanțe chimice, utilități), și subiecte cheie, cum ar fi practicile de gestionare a deșeurilor ale companiei, inclusiv gestionarea oricăror deșeuri periculoase și deșeuri radioactive, cu o atenție deosebită oricăror controverse sau malpraxis aferente. </w:t>
            </w:r>
            <w:r w:rsidRPr="00174138">
              <w:rPr>
                <w:rFonts w:cs="Arial"/>
                <w:bCs/>
                <w:color w:val="auto"/>
                <w:sz w:val="14"/>
                <w:szCs w:val="14"/>
              </w:rPr>
              <w:t>Companiile implicate în controverse foarte severe legate de deșeuri pot fi excluse din investițiile Grupului în conformitate cu cadrul de screening negativ pentru controversele ESG.</w:t>
            </w:r>
          </w:p>
          <w:p w14:paraId="20510645" w14:textId="1C50D958" w:rsidR="00E71AC2" w:rsidRPr="0087494E" w:rsidRDefault="00E71AC2" w:rsidP="00F04625">
            <w:pPr>
              <w:spacing w:before="0" w:after="60" w:line="240" w:lineRule="auto"/>
              <w:contextualSpacing w:val="0"/>
              <w:jc w:val="both"/>
              <w:rPr>
                <w:rFonts w:eastAsia="Calibri" w:cs="Arial"/>
                <w:color w:val="auto"/>
                <w:sz w:val="14"/>
                <w:szCs w:val="14"/>
              </w:rPr>
            </w:pPr>
          </w:p>
        </w:tc>
      </w:tr>
      <w:tr w:rsidR="00E71AC2" w:rsidRPr="00E3260F" w14:paraId="16745220" w14:textId="77777777" w:rsidTr="00B22082">
        <w:tc>
          <w:tcPr>
            <w:tcW w:w="881" w:type="dxa"/>
            <w:vMerge w:val="restart"/>
            <w:tcBorders>
              <w:top w:val="single" w:sz="4" w:space="0" w:color="auto"/>
              <w:left w:val="single" w:sz="4" w:space="0" w:color="auto"/>
              <w:right w:val="single" w:sz="4" w:space="0" w:color="auto"/>
            </w:tcBorders>
          </w:tcPr>
          <w:p w14:paraId="31A05B9A" w14:textId="77777777"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Probleme sociale și ale angajaților</w:t>
            </w:r>
          </w:p>
        </w:tc>
        <w:tc>
          <w:tcPr>
            <w:tcW w:w="1020" w:type="dxa"/>
            <w:tcBorders>
              <w:top w:val="single" w:sz="4" w:space="0" w:color="auto"/>
              <w:left w:val="single" w:sz="4" w:space="0" w:color="auto"/>
              <w:bottom w:val="single" w:sz="4" w:space="0" w:color="auto"/>
              <w:right w:val="single" w:sz="4" w:space="0" w:color="auto"/>
            </w:tcBorders>
            <w:vAlign w:val="center"/>
          </w:tcPr>
          <w:p w14:paraId="09D8CF94" w14:textId="657FAE7C" w:rsidR="00E71AC2" w:rsidRPr="0087494E" w:rsidRDefault="00E71AC2" w:rsidP="0033273E">
            <w:pPr>
              <w:spacing w:before="0" w:after="0" w:line="240" w:lineRule="auto"/>
              <w:contextualSpacing w:val="0"/>
              <w:rPr>
                <w:rFonts w:eastAsia="Calibri" w:cs="Arial"/>
                <w:color w:val="auto"/>
                <w:sz w:val="14"/>
                <w:szCs w:val="14"/>
              </w:rPr>
            </w:pPr>
            <w:r w:rsidRPr="00174138">
              <w:rPr>
                <w:rFonts w:eastAsia="Calibri" w:cs="Arial"/>
                <w:color w:val="auto"/>
                <w:sz w:val="14"/>
                <w:szCs w:val="14"/>
              </w:rPr>
              <w:t xml:space="preserve">10.Încălcări ale principiilor Pactului Global al ONU și ale </w:t>
            </w:r>
            <w:r w:rsidRPr="00174138">
              <w:rPr>
                <w:rFonts w:eastAsia="Calibri" w:cs="Arial"/>
                <w:bCs/>
                <w:noProof/>
                <w:color w:val="auto"/>
                <w:sz w:val="14"/>
                <w:szCs w:val="14"/>
              </w:rPr>
              <w:lastRenderedPageBreak/>
              <w:t>Orientărilor Organizației pentru Cooperare și Dezvoltare Economică (</w:t>
            </w:r>
            <w:r w:rsidRPr="00174138">
              <w:rPr>
                <w:rFonts w:eastAsia="Calibri" w:cs="Arial"/>
                <w:color w:val="auto"/>
                <w:sz w:val="14"/>
                <w:szCs w:val="14"/>
              </w:rPr>
              <w:t xml:space="preserve">OCDE) pentru întreprinderile multinaționale </w:t>
            </w:r>
          </w:p>
        </w:tc>
        <w:tc>
          <w:tcPr>
            <w:tcW w:w="2608" w:type="dxa"/>
            <w:tcBorders>
              <w:top w:val="single" w:sz="4" w:space="0" w:color="auto"/>
              <w:left w:val="single" w:sz="4" w:space="0" w:color="auto"/>
              <w:bottom w:val="single" w:sz="4" w:space="0" w:color="auto"/>
              <w:right w:val="single" w:sz="4" w:space="0" w:color="auto"/>
            </w:tcBorders>
            <w:vAlign w:val="center"/>
          </w:tcPr>
          <w:p w14:paraId="5DA007A7" w14:textId="77777777" w:rsidR="00E71AC2" w:rsidRPr="0087494E" w:rsidDel="004A7303" w:rsidRDefault="00E71AC2" w:rsidP="0033273E">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color w:val="auto"/>
                <w:sz w:val="14"/>
                <w:szCs w:val="14"/>
                <w:lang w:eastAsia="en-US"/>
              </w:rPr>
              <w:lastRenderedPageBreak/>
              <w:t xml:space="preserve">Ponderea investițiilor în societățile în care s-a investit care au fost implicate în încălcări ale principiilor UNGC sau ale </w:t>
            </w:r>
            <w:r w:rsidRPr="00174138">
              <w:rPr>
                <w:rFonts w:eastAsia="Calibri" w:cs="Arial"/>
                <w:color w:val="auto"/>
                <w:sz w:val="14"/>
                <w:szCs w:val="14"/>
                <w:lang w:eastAsia="en-US"/>
              </w:rPr>
              <w:lastRenderedPageBreak/>
              <w:t>Orientărilor OCDE pentru întreprinderile multinaționale</w:t>
            </w:r>
          </w:p>
        </w:tc>
        <w:tc>
          <w:tcPr>
            <w:tcW w:w="1179" w:type="dxa"/>
            <w:tcBorders>
              <w:top w:val="single" w:sz="4" w:space="0" w:color="auto"/>
              <w:left w:val="single" w:sz="4" w:space="0" w:color="auto"/>
              <w:bottom w:val="single" w:sz="4" w:space="0" w:color="auto"/>
              <w:right w:val="single" w:sz="4" w:space="0" w:color="auto"/>
            </w:tcBorders>
          </w:tcPr>
          <w:p w14:paraId="5F5275EC" w14:textId="4E832991"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7982B9EB" w14:textId="3A827258"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tcPr>
          <w:p w14:paraId="67BA5F30" w14:textId="08A8AFA5" w:rsidR="00E71AC2" w:rsidRPr="0087494E" w:rsidRDefault="00F201C4" w:rsidP="0033273E">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 xml:space="preserve">Ponderea investițiilor în emitenții corporativi implicați în încălcări ale principiilor UNGC sau ale Liniilor </w:t>
            </w:r>
            <w:r w:rsidRPr="00174138">
              <w:rPr>
                <w:rFonts w:eastAsia="Calibri" w:cs="Arial"/>
                <w:noProof/>
                <w:color w:val="auto"/>
                <w:sz w:val="14"/>
                <w:szCs w:val="14"/>
                <w:lang w:eastAsia="en-US"/>
              </w:rPr>
              <w:lastRenderedPageBreak/>
              <w:t>directoare ale OCDE pentru întreprinderile multinaționale, conform metodologiei Generali Group Negative Screening.</w:t>
            </w:r>
          </w:p>
          <w:p w14:paraId="10C33814" w14:textId="77777777"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p w14:paraId="27236EC0" w14:textId="148C9CE3" w:rsidR="00E71AC2" w:rsidRPr="0087494E" w:rsidRDefault="00E71AC2" w:rsidP="0033273E">
            <w:pPr>
              <w:widowControl/>
              <w:suppressAutoHyphens w:val="0"/>
              <w:spacing w:before="0" w:after="0" w:line="240" w:lineRule="auto"/>
              <w:contextualSpacing w:val="0"/>
              <w:jc w:val="both"/>
              <w:rPr>
                <w:rFonts w:eastAsia="Calibri" w:cs="Arial"/>
                <w:noProof/>
                <w:color w:val="auto"/>
                <w:sz w:val="14"/>
                <w:szCs w:val="14"/>
                <w:lang w:eastAsia="en-US"/>
              </w:rPr>
            </w:pPr>
          </w:p>
        </w:tc>
        <w:tc>
          <w:tcPr>
            <w:tcW w:w="5670" w:type="dxa"/>
            <w:tcBorders>
              <w:top w:val="single" w:sz="4" w:space="0" w:color="auto"/>
              <w:left w:val="single" w:sz="4" w:space="0" w:color="auto"/>
              <w:bottom w:val="single" w:sz="4" w:space="0" w:color="auto"/>
              <w:right w:val="single" w:sz="4" w:space="0" w:color="auto"/>
            </w:tcBorders>
          </w:tcPr>
          <w:p w14:paraId="7AFA8256" w14:textId="4B6FB524" w:rsidR="00E71AC2" w:rsidRPr="0087494E" w:rsidRDefault="00E71AC2" w:rsidP="00F04625">
            <w:pPr>
              <w:spacing w:before="0" w:after="60" w:line="240" w:lineRule="auto"/>
              <w:contextualSpacing w:val="0"/>
              <w:jc w:val="both"/>
              <w:rPr>
                <w:rFonts w:cs="Arial"/>
                <w:color w:val="auto"/>
                <w:sz w:val="14"/>
                <w:szCs w:val="14"/>
              </w:rPr>
            </w:pPr>
            <w:r w:rsidRPr="00174138">
              <w:rPr>
                <w:rFonts w:cs="Arial"/>
                <w:color w:val="auto"/>
                <w:sz w:val="14"/>
                <w:szCs w:val="14"/>
              </w:rPr>
              <w:lastRenderedPageBreak/>
              <w:t>Încălcările unor principii precum Pactul Global al ONU și Liniile directoare ale OCDE sunt integrate în abordările ESG aplicate de Generali:</w:t>
            </w:r>
          </w:p>
          <w:p w14:paraId="663C57F9" w14:textId="1913862E" w:rsidR="00E71AC2" w:rsidRPr="0087494E" w:rsidRDefault="00E71AC2" w:rsidP="00F04625">
            <w:pPr>
              <w:spacing w:before="0" w:after="60" w:line="240" w:lineRule="auto"/>
              <w:contextualSpacing w:val="0"/>
              <w:jc w:val="both"/>
              <w:rPr>
                <w:rFonts w:cs="Arial"/>
                <w:color w:val="auto"/>
                <w:sz w:val="14"/>
                <w:szCs w:val="14"/>
              </w:rPr>
            </w:pPr>
            <w:r w:rsidRPr="00174138">
              <w:rPr>
                <w:rFonts w:cs="Arial"/>
                <w:b/>
                <w:bCs/>
                <w:color w:val="auto"/>
                <w:sz w:val="14"/>
                <w:szCs w:val="14"/>
              </w:rPr>
              <w:t xml:space="preserve">- Screening negativ: </w:t>
            </w:r>
            <w:r w:rsidRPr="00174138">
              <w:rPr>
                <w:rFonts w:cs="Arial"/>
                <w:color w:val="auto"/>
                <w:sz w:val="14"/>
                <w:szCs w:val="14"/>
              </w:rPr>
              <w:t xml:space="preserve">în conformitate cu angajamentele Grupului, Generali exclude investițiile în companii implicate în controverse ESG grave, cum ar fi încălcări ale drepturilor </w:t>
            </w:r>
            <w:r w:rsidRPr="00174138">
              <w:rPr>
                <w:rFonts w:cs="Arial"/>
                <w:color w:val="auto"/>
                <w:sz w:val="14"/>
                <w:szCs w:val="14"/>
              </w:rPr>
              <w:lastRenderedPageBreak/>
              <w:t>omului, daune aduse mediului și corupție. Companiile care sunt potențial implicate în astfel de încălcări grave sunt identificate prin furnizorii de date ESG, evaluate și intern (atunci când sunt considerate relevante pe baza semnificației) și, dacă se confirmă, sunt incluse într-o "listă restricționată".</w:t>
            </w:r>
          </w:p>
          <w:p w14:paraId="30E0F0CA" w14:textId="51243EBE" w:rsidR="00E71AC2" w:rsidRPr="0087494E" w:rsidRDefault="00E71AC2" w:rsidP="00F04625">
            <w:pPr>
              <w:spacing w:before="0" w:after="60" w:line="240" w:lineRule="auto"/>
              <w:contextualSpacing w:val="0"/>
              <w:jc w:val="both"/>
              <w:rPr>
                <w:rFonts w:cs="Arial"/>
                <w:color w:val="auto"/>
                <w:sz w:val="14"/>
                <w:szCs w:val="14"/>
              </w:rPr>
            </w:pPr>
            <w:r w:rsidRPr="00174138">
              <w:rPr>
                <w:rFonts w:cs="Arial"/>
                <w:color w:val="auto"/>
                <w:sz w:val="14"/>
                <w:szCs w:val="14"/>
              </w:rPr>
              <w:t>Controversele ESG sunt, de asemenea, luate în considerare în ratingul ESG – orice controversă ESG relevantă poate evidenția probleme din cadrul ESG al companiei și scade ratingul ESG al unui emitent.</w:t>
            </w:r>
          </w:p>
          <w:p w14:paraId="47094ED3" w14:textId="1D0F61FD" w:rsidR="00E71AC2" w:rsidRPr="0087494E" w:rsidRDefault="00E71AC2" w:rsidP="00F04625">
            <w:pPr>
              <w:suppressAutoHyphens w:val="0"/>
              <w:spacing w:before="0" w:after="60" w:line="240" w:lineRule="auto"/>
              <w:contextualSpacing w:val="0"/>
              <w:jc w:val="both"/>
              <w:rPr>
                <w:rFonts w:cs="Arial"/>
                <w:color w:val="auto"/>
                <w:sz w:val="14"/>
                <w:szCs w:val="14"/>
              </w:rPr>
            </w:pPr>
            <w:r w:rsidRPr="00174138">
              <w:rPr>
                <w:rFonts w:cs="Arial"/>
                <w:color w:val="auto"/>
                <w:sz w:val="14"/>
                <w:szCs w:val="14"/>
              </w:rPr>
              <w:t>A se vedea "Integrarea sustenabilității în Investiții și Ghidul Grupului de Acționariat Activ" (</w:t>
            </w:r>
            <w:r w:rsidR="00C96CAB">
              <w:rPr>
                <w:szCs w:val="24"/>
              </w:rPr>
              <w:fldChar w:fldCharType="begin"/>
            </w:r>
            <w:r w:rsidR="00C96CAB" w:rsidRPr="006A0E03">
              <w:instrText>HYPERLINK "https://www.generali.com/sustainability/responsible-investor/sustainability-into-investments"</w:instrText>
            </w:r>
            <w:r w:rsidR="00C96CAB">
              <w:rPr>
                <w:szCs w:val="24"/>
              </w:rPr>
              <w:fldChar w:fldCharType="separate"/>
            </w:r>
            <w:r w:rsidRPr="00174138">
              <w:rPr>
                <w:rStyle w:val="Hyperlink"/>
                <w:rFonts w:cs="Arial"/>
                <w:sz w:val="14"/>
                <w:szCs w:val="14"/>
              </w:rPr>
              <w:t>legătură</w:t>
            </w:r>
            <w:r w:rsidR="00C96CAB">
              <w:rPr>
                <w:rStyle w:val="Hyperlink"/>
                <w:rFonts w:cs="Arial"/>
                <w:sz w:val="14"/>
                <w:szCs w:val="14"/>
              </w:rPr>
              <w:fldChar w:fldCharType="end"/>
            </w:r>
            <w:r w:rsidRPr="00174138">
              <w:rPr>
                <w:rFonts w:cs="Arial"/>
                <w:color w:val="auto"/>
                <w:sz w:val="14"/>
                <w:szCs w:val="14"/>
              </w:rPr>
              <w:t xml:space="preserve">) pentru o viziune completă asupra abordării, guvernanței și procesului de excludere a Grupului. </w:t>
            </w:r>
          </w:p>
          <w:p w14:paraId="43BB8310" w14:textId="3145022B" w:rsidR="0065423C" w:rsidRPr="0087494E" w:rsidRDefault="00E71AC2" w:rsidP="00F04625">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color w:val="auto"/>
                <w:sz w:val="14"/>
                <w:szCs w:val="14"/>
                <w:lang w:eastAsia="en-US"/>
              </w:rPr>
              <w:t xml:space="preserve">- </w:t>
            </w:r>
            <w:r w:rsidR="0065423C" w:rsidRPr="00174138">
              <w:rPr>
                <w:rFonts w:eastAsia="Calibri" w:cs="Arial"/>
                <w:b/>
                <w:bCs/>
                <w:color w:val="auto"/>
                <w:sz w:val="14"/>
                <w:szCs w:val="14"/>
              </w:rPr>
              <w:t>Proprietate activă</w:t>
            </w:r>
            <w:r w:rsidR="0065423C" w:rsidRPr="00174138">
              <w:rPr>
                <w:rFonts w:eastAsia="Calibri" w:cs="Arial"/>
                <w:color w:val="auto"/>
                <w:sz w:val="14"/>
                <w:szCs w:val="14"/>
              </w:rPr>
              <w:t xml:space="preserve">: (i) colaborarea cu întreprinderile cu practici ESG slabe, care prezintă totuși potențial de derivă către o conduită mai durabilă, prin intermediul administratorilor de active delegați în contextul activităților de administrare a portofoliului; (ii) să exercite drepturile de vot, în conformitate cu principiile de vot aliniate la principiile Pactului Global al ONU și la Orientările OCDE pentru companiile multinaționale, pentru a trage la răspundere companiile atunci când acestea afectează negativ problemele sociale și ale angajaților. Pentru informații detaliate, consultați </w:t>
            </w:r>
            <w:bookmarkStart w:id="16" w:name="_Hlk132288804"/>
            <w:r w:rsidR="00E53387">
              <w:rPr>
                <w:rFonts w:eastAsia="Calibri" w:cs="Arial"/>
                <w:color w:val="auto"/>
                <w:sz w:val="14"/>
                <w:szCs w:val="14"/>
                <w:lang w:eastAsia="en-US"/>
              </w:rPr>
              <w:t xml:space="preserve">Grupul Activ 2024 </w:t>
            </w:r>
            <w:r w:rsidR="006B5B68">
              <w:rPr>
                <w:rFonts w:eastAsia="Calibri" w:cs="Arial"/>
                <w:color w:val="auto"/>
                <w:sz w:val="14"/>
                <w:szCs w:val="14"/>
                <w:lang w:eastAsia="en-US"/>
              </w:rPr>
              <w:t>Raport privind proprietatea</w:t>
            </w:r>
            <w:r w:rsidR="004971F3">
              <w:rPr>
                <w:rFonts w:eastAsia="Calibri" w:cs="Arial"/>
                <w:color w:val="auto"/>
                <w:sz w:val="14"/>
                <w:szCs w:val="14"/>
                <w:lang w:eastAsia="en-US"/>
              </w:rPr>
              <w:t xml:space="preserve"> disponibil pe site-ul Generali</w:t>
            </w:r>
            <w:r w:rsidR="0065423C" w:rsidRPr="00174138">
              <w:rPr>
                <w:rFonts w:eastAsia="Calibri" w:cs="Arial"/>
                <w:color w:val="auto"/>
                <w:sz w:val="14"/>
                <w:szCs w:val="14"/>
                <w:lang w:eastAsia="en-US"/>
              </w:rPr>
              <w:t xml:space="preserve">.  </w:t>
            </w:r>
          </w:p>
          <w:bookmarkEnd w:id="16"/>
          <w:p w14:paraId="155C7154" w14:textId="5F49DFD1" w:rsidR="00E71AC2" w:rsidRPr="0087494E" w:rsidRDefault="00E71AC2" w:rsidP="00F04625">
            <w:pPr>
              <w:spacing w:before="0" w:after="60" w:line="240" w:lineRule="auto"/>
              <w:contextualSpacing w:val="0"/>
              <w:jc w:val="both"/>
              <w:rPr>
                <w:rFonts w:eastAsia="Calibri" w:cs="Arial"/>
                <w:color w:val="auto"/>
                <w:sz w:val="14"/>
                <w:szCs w:val="14"/>
              </w:rPr>
            </w:pPr>
          </w:p>
        </w:tc>
      </w:tr>
      <w:tr w:rsidR="00E71AC2" w:rsidRPr="00E3260F" w14:paraId="0DEC11B7" w14:textId="77777777" w:rsidTr="00B22082">
        <w:tc>
          <w:tcPr>
            <w:tcW w:w="881" w:type="dxa"/>
            <w:vMerge/>
            <w:tcBorders>
              <w:left w:val="single" w:sz="4" w:space="0" w:color="auto"/>
              <w:right w:val="single" w:sz="4" w:space="0" w:color="auto"/>
            </w:tcBorders>
            <w:hideMark/>
          </w:tcPr>
          <w:p w14:paraId="077F485B" w14:textId="77777777" w:rsidR="00E71AC2" w:rsidRPr="0087494E" w:rsidRDefault="00E71AC2" w:rsidP="001F61AC">
            <w:pPr>
              <w:widowControl/>
              <w:suppressAutoHyphens w:val="0"/>
              <w:spacing w:before="0" w:after="0" w:line="240" w:lineRule="auto"/>
              <w:contextualSpacing w:val="0"/>
              <w:jc w:val="both"/>
              <w:rPr>
                <w:rFonts w:eastAsia="Calibri" w:cs="Arial"/>
                <w:noProof/>
                <w:color w:val="auto"/>
                <w:sz w:val="14"/>
                <w:szCs w:val="14"/>
                <w:lang w:eastAsia="en-US"/>
              </w:rPr>
            </w:pPr>
            <w:bookmarkStart w:id="17" w:name="_Hlk56012699"/>
          </w:p>
        </w:tc>
        <w:tc>
          <w:tcPr>
            <w:tcW w:w="1020" w:type="dxa"/>
            <w:tcBorders>
              <w:top w:val="single" w:sz="4" w:space="0" w:color="auto"/>
              <w:left w:val="single" w:sz="4" w:space="0" w:color="auto"/>
              <w:bottom w:val="single" w:sz="4" w:space="0" w:color="auto"/>
              <w:right w:val="single" w:sz="4" w:space="0" w:color="auto"/>
            </w:tcBorders>
            <w:vAlign w:val="center"/>
          </w:tcPr>
          <w:p w14:paraId="39077D69" w14:textId="696C4A10" w:rsidR="00E71AC2" w:rsidRPr="0087494E" w:rsidRDefault="00E71AC2" w:rsidP="001F61AC">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color w:val="auto"/>
                <w:sz w:val="14"/>
                <w:szCs w:val="14"/>
                <w:lang w:eastAsia="en-US"/>
              </w:rPr>
              <w:t>11.Lipsa proceselor și a mecanismelor de conformitate pentru a monitoriza respectarea principiilor Pactului mondial al ONU și a Orientărilor OCDE pentru întreprinderile multinaționale</w:t>
            </w:r>
          </w:p>
        </w:tc>
        <w:tc>
          <w:tcPr>
            <w:tcW w:w="2608" w:type="dxa"/>
            <w:tcBorders>
              <w:top w:val="single" w:sz="4" w:space="0" w:color="auto"/>
              <w:left w:val="single" w:sz="4" w:space="0" w:color="auto"/>
              <w:bottom w:val="single" w:sz="4" w:space="0" w:color="auto"/>
              <w:right w:val="single" w:sz="4" w:space="0" w:color="auto"/>
            </w:tcBorders>
            <w:vAlign w:val="center"/>
          </w:tcPr>
          <w:p w14:paraId="6F630161" w14:textId="77777777" w:rsidR="00E71AC2" w:rsidRPr="0087494E" w:rsidRDefault="00E71AC2" w:rsidP="001F61AC">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color w:val="auto"/>
                <w:sz w:val="14"/>
                <w:szCs w:val="14"/>
                <w:lang w:eastAsia="en-US"/>
              </w:rPr>
              <w:t>Ponderea investițiilor în societăți în care s-a investit fără politici de monitorizare a respectării principiilor UNGC sau a Orientărilor OCDE pentru întreprinderile multinaționale sau a mecanismelor de soluționare a plângerilor/plângerilor pentru a aborda încălcările principiilor UNGC sau ale Orientărilor OCDE pentru întreprinderile multinaționale</w:t>
            </w:r>
          </w:p>
        </w:tc>
        <w:tc>
          <w:tcPr>
            <w:tcW w:w="1179" w:type="dxa"/>
            <w:tcBorders>
              <w:top w:val="single" w:sz="4" w:space="0" w:color="auto"/>
              <w:left w:val="single" w:sz="4" w:space="0" w:color="auto"/>
              <w:bottom w:val="single" w:sz="4" w:space="0" w:color="auto"/>
              <w:right w:val="single" w:sz="4" w:space="0" w:color="auto"/>
            </w:tcBorders>
          </w:tcPr>
          <w:p w14:paraId="4438D715" w14:textId="3E48705A" w:rsidR="00E71AC2" w:rsidRPr="0087494E" w:rsidRDefault="00E71AC2" w:rsidP="001F61AC">
            <w:pPr>
              <w:widowControl/>
              <w:suppressAutoHyphens w:val="0"/>
              <w:spacing w:before="0" w:after="0" w:line="240" w:lineRule="auto"/>
              <w:contextualSpacing w:val="0"/>
              <w:jc w:val="both"/>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tcPr>
          <w:p w14:paraId="53A00962" w14:textId="4DA14106" w:rsidR="00E71AC2" w:rsidRPr="0087494E" w:rsidRDefault="00E71AC2" w:rsidP="001F61AC">
            <w:pPr>
              <w:widowControl/>
              <w:suppressAutoHyphens w:val="0"/>
              <w:spacing w:before="0" w:after="0" w:line="240" w:lineRule="auto"/>
              <w:contextualSpacing w:val="0"/>
              <w:jc w:val="both"/>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tcPr>
          <w:p w14:paraId="1643CFB3" w14:textId="3C102906" w:rsidR="00E71AC2" w:rsidRPr="0087494E" w:rsidRDefault="00280AED" w:rsidP="00807549">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Ponderea investițiilor în societăți în care s-a investit fără politici de monitorizare a respectării principiilor UNGC sau a Orientărilor OCDE pentru întreprinderile multinaționale sau a mecanismelor de soluționare a plângerilor/plângerilor pentru a aborda încălcările principiilor UNGC sau a liniilor directoare ale OCDE pentru întreprinderile multinaționale.</w:t>
            </w:r>
          </w:p>
          <w:p w14:paraId="531FB3A5" w14:textId="77777777" w:rsidR="00942178" w:rsidRPr="0087494E" w:rsidRDefault="00942178" w:rsidP="00807549">
            <w:pPr>
              <w:widowControl/>
              <w:suppressAutoHyphens w:val="0"/>
              <w:spacing w:before="0" w:after="0" w:line="240" w:lineRule="auto"/>
              <w:contextualSpacing w:val="0"/>
              <w:jc w:val="both"/>
              <w:rPr>
                <w:rFonts w:eastAsia="Calibri" w:cs="Arial"/>
                <w:noProof/>
                <w:color w:val="auto"/>
                <w:sz w:val="14"/>
                <w:szCs w:val="14"/>
                <w:lang w:eastAsia="en-US"/>
              </w:rPr>
            </w:pPr>
          </w:p>
          <w:p w14:paraId="3D94DCC1" w14:textId="04C2D727" w:rsidR="00942178" w:rsidRPr="0087494E" w:rsidRDefault="00942178" w:rsidP="00807549">
            <w:pPr>
              <w:widowControl/>
              <w:suppressAutoHyphens w:val="0"/>
              <w:spacing w:before="0" w:after="0" w:line="240" w:lineRule="auto"/>
              <w:contextualSpacing w:val="0"/>
              <w:jc w:val="both"/>
              <w:rPr>
                <w:rFonts w:eastAsia="Calibri" w:cs="Arial"/>
                <w:b/>
                <w:bCs/>
                <w:noProof/>
                <w:color w:val="auto"/>
                <w:sz w:val="14"/>
                <w:szCs w:val="14"/>
                <w:lang w:eastAsia="en-US"/>
              </w:rPr>
            </w:pPr>
          </w:p>
        </w:tc>
        <w:tc>
          <w:tcPr>
            <w:tcW w:w="5670" w:type="dxa"/>
            <w:tcBorders>
              <w:top w:val="single" w:sz="4" w:space="0" w:color="auto"/>
              <w:left w:val="single" w:sz="4" w:space="0" w:color="auto"/>
              <w:bottom w:val="single" w:sz="4" w:space="0" w:color="auto"/>
              <w:right w:val="single" w:sz="4" w:space="0" w:color="auto"/>
            </w:tcBorders>
          </w:tcPr>
          <w:p w14:paraId="685AA1E5" w14:textId="0B99F13A" w:rsidR="00B07B46" w:rsidRPr="0087494E" w:rsidRDefault="00B07B46" w:rsidP="00F13D18">
            <w:pPr>
              <w:spacing w:before="0" w:after="60" w:line="240" w:lineRule="auto"/>
              <w:contextualSpacing w:val="0"/>
              <w:jc w:val="both"/>
              <w:rPr>
                <w:color w:val="auto"/>
                <w:sz w:val="14"/>
                <w:szCs w:val="14"/>
              </w:rPr>
            </w:pPr>
            <w:r w:rsidRPr="00174138">
              <w:rPr>
                <w:b/>
                <w:bCs/>
                <w:color w:val="auto"/>
                <w:sz w:val="14"/>
                <w:szCs w:val="14"/>
              </w:rPr>
              <w:t>- Screening negativ:</w:t>
            </w:r>
            <w:r w:rsidRPr="00174138">
              <w:rPr>
                <w:color w:val="auto"/>
                <w:sz w:val="14"/>
                <w:szCs w:val="14"/>
              </w:rPr>
              <w:t xml:space="preserve"> așa cum s-a menționat mai sus, Grupul exclude investițiile în companii implicate în controverse ESG grave, încălcând principiile Pactului Global al ONU și alte standarde internaționale relevante. În cazurile în care apar astfel de probleme într-o companie din portofoliu, compania este evaluată atât pentru acțiunile sale, cât și pentru adecvarea politicilor sale de prevenire, monitorizare și gestionare a unor astfel de incidente. Calitatea politicilor de gestionare a controverselor ESG și încălcarea standardelor internaționale sunt, de asemenea, o componentă cheie în evaluarea ratingului ESG al unei companii – companiilor cu cadre insuficiente sau ineficiente li se va atribui un rating ESG mai mic (ESG laggards), ceea ce poate duce la excluderea din portofoliul de investiții Generali.</w:t>
            </w:r>
          </w:p>
          <w:p w14:paraId="12E59E06" w14:textId="6234C90C" w:rsidR="007F53F9" w:rsidRPr="0087494E" w:rsidRDefault="007F53F9" w:rsidP="00F13D18">
            <w:pPr>
              <w:widowControl/>
              <w:suppressAutoHyphens w:val="0"/>
              <w:spacing w:before="0" w:after="60" w:line="240" w:lineRule="auto"/>
              <w:contextualSpacing w:val="0"/>
              <w:jc w:val="both"/>
              <w:rPr>
                <w:rFonts w:eastAsia="Calibri" w:cs="Arial"/>
                <w:color w:val="auto"/>
                <w:sz w:val="14"/>
                <w:szCs w:val="14"/>
              </w:rPr>
            </w:pPr>
          </w:p>
        </w:tc>
      </w:tr>
      <w:bookmarkEnd w:id="17"/>
      <w:tr w:rsidR="00E71AC2" w:rsidRPr="00E3260F" w14:paraId="7808A25B" w14:textId="77777777" w:rsidTr="00B22082">
        <w:trPr>
          <w:trHeight w:val="1436"/>
        </w:trPr>
        <w:tc>
          <w:tcPr>
            <w:tcW w:w="881" w:type="dxa"/>
            <w:vMerge/>
            <w:tcBorders>
              <w:left w:val="single" w:sz="4" w:space="0" w:color="auto"/>
              <w:right w:val="single" w:sz="4" w:space="0" w:color="auto"/>
            </w:tcBorders>
            <w:vAlign w:val="center"/>
            <w:hideMark/>
          </w:tcPr>
          <w:p w14:paraId="34706289" w14:textId="77777777" w:rsidR="00E71AC2" w:rsidRPr="0087494E" w:rsidRDefault="00E71AC2" w:rsidP="001F61AC">
            <w:pPr>
              <w:widowControl/>
              <w:suppressAutoHyphens w:val="0"/>
              <w:spacing w:before="0" w:after="0" w:line="240" w:lineRule="auto"/>
              <w:contextualSpacing w:val="0"/>
              <w:jc w:val="both"/>
              <w:rPr>
                <w:rFonts w:eastAsia="Calibri" w:cs="Arial"/>
                <w:noProof/>
                <w:color w:val="auto"/>
                <w:sz w:val="14"/>
                <w:szCs w:val="14"/>
                <w:lang w:eastAsia="en-US"/>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5680FF6E" w14:textId="23B73E10" w:rsidR="00E71AC2" w:rsidRPr="0087494E" w:rsidRDefault="00E71AC2" w:rsidP="00324C73">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bCs/>
                <w:noProof/>
                <w:color w:val="auto"/>
                <w:sz w:val="14"/>
                <w:szCs w:val="14"/>
                <w:lang w:eastAsia="en-US"/>
              </w:rPr>
              <w:t>12.Diferența de remunerare între femei și bărbați neajustată</w:t>
            </w:r>
          </w:p>
        </w:tc>
        <w:tc>
          <w:tcPr>
            <w:tcW w:w="2608" w:type="dxa"/>
            <w:tcBorders>
              <w:top w:val="single" w:sz="4" w:space="0" w:color="auto"/>
              <w:left w:val="single" w:sz="4" w:space="0" w:color="auto"/>
              <w:bottom w:val="single" w:sz="4" w:space="0" w:color="auto"/>
              <w:right w:val="single" w:sz="4" w:space="0" w:color="auto"/>
            </w:tcBorders>
            <w:vAlign w:val="center"/>
            <w:hideMark/>
          </w:tcPr>
          <w:p w14:paraId="2DD3FAC0" w14:textId="77777777" w:rsidR="00E71AC2" w:rsidRPr="00174138" w:rsidRDefault="00E71AC2" w:rsidP="00324C73">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Diferența medie de remunerare între femei și bărbați neajustată a societăților în care s-a investit</w:t>
            </w:r>
          </w:p>
        </w:tc>
        <w:tc>
          <w:tcPr>
            <w:tcW w:w="1179" w:type="dxa"/>
            <w:tcBorders>
              <w:top w:val="single" w:sz="4" w:space="0" w:color="auto"/>
              <w:left w:val="single" w:sz="4" w:space="0" w:color="auto"/>
              <w:bottom w:val="single" w:sz="4" w:space="0" w:color="auto"/>
              <w:right w:val="single" w:sz="4" w:space="0" w:color="auto"/>
            </w:tcBorders>
            <w:vAlign w:val="center"/>
          </w:tcPr>
          <w:p w14:paraId="38475EC8" w14:textId="545C7A8B" w:rsidR="00E71AC2" w:rsidRPr="00174138" w:rsidRDefault="00E71AC2" w:rsidP="00B22082">
            <w:pPr>
              <w:widowControl/>
              <w:suppressAutoHyphens w:val="0"/>
              <w:spacing w:before="0" w:after="0" w:line="240" w:lineRule="auto"/>
              <w:contextualSpacing w:val="0"/>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250BFFFD" w14:textId="4081F338" w:rsidR="00E71AC2" w:rsidRPr="00174138" w:rsidRDefault="00E71AC2" w:rsidP="00B22082">
            <w:pPr>
              <w:widowControl/>
              <w:suppressAutoHyphens w:val="0"/>
              <w:spacing w:before="0" w:after="0" w:line="240" w:lineRule="auto"/>
              <w:contextualSpacing w:val="0"/>
              <w:rPr>
                <w:rFonts w:eastAsia="Calibri" w:cs="Arial"/>
                <w:noProof/>
                <w:color w:val="auto"/>
                <w:sz w:val="14"/>
                <w:szCs w:val="14"/>
                <w:lang w:val="en-GB" w:eastAsia="en-US"/>
              </w:rPr>
            </w:pPr>
          </w:p>
        </w:tc>
        <w:tc>
          <w:tcPr>
            <w:tcW w:w="1916" w:type="dxa"/>
            <w:tcBorders>
              <w:top w:val="single" w:sz="4" w:space="0" w:color="auto"/>
              <w:left w:val="single" w:sz="4" w:space="0" w:color="auto"/>
              <w:bottom w:val="single" w:sz="4" w:space="0" w:color="auto"/>
              <w:right w:val="single" w:sz="4" w:space="0" w:color="auto"/>
            </w:tcBorders>
            <w:vAlign w:val="center"/>
          </w:tcPr>
          <w:p w14:paraId="586864E0" w14:textId="535F2EE4" w:rsidR="00E71AC2" w:rsidRPr="0087494E" w:rsidRDefault="00E71AC2" w:rsidP="00B2208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Media ponderată a deținerilor de portofoliu a diferenței dintre câștigurile salariale brute medii pe oră ale angajaților de sex masculin și feminin, ca procent din câștigurile salariale brute ale bărbaților.</w:t>
            </w:r>
          </w:p>
        </w:tc>
        <w:tc>
          <w:tcPr>
            <w:tcW w:w="5670" w:type="dxa"/>
            <w:vMerge w:val="restart"/>
            <w:tcBorders>
              <w:top w:val="single" w:sz="4" w:space="0" w:color="auto"/>
              <w:left w:val="single" w:sz="4" w:space="0" w:color="auto"/>
              <w:right w:val="single" w:sz="4" w:space="0" w:color="auto"/>
            </w:tcBorders>
          </w:tcPr>
          <w:p w14:paraId="58C4AF1C" w14:textId="692B1916" w:rsidR="00C55FE4" w:rsidRPr="0087494E" w:rsidRDefault="008D4853" w:rsidP="00C55FE4">
            <w:pPr>
              <w:spacing w:before="0" w:after="60" w:line="240" w:lineRule="auto"/>
              <w:contextualSpacing w:val="0"/>
              <w:jc w:val="both"/>
              <w:rPr>
                <w:rFonts w:eastAsia="Calibri" w:cs="Arial"/>
                <w:color w:val="auto"/>
                <w:sz w:val="14"/>
                <w:szCs w:val="14"/>
              </w:rPr>
            </w:pPr>
            <w:r w:rsidRPr="00174138">
              <w:rPr>
                <w:rFonts w:eastAsia="Calibri" w:cs="Arial"/>
                <w:b/>
                <w:bCs/>
                <w:color w:val="auto"/>
                <w:sz w:val="14"/>
                <w:szCs w:val="14"/>
              </w:rPr>
              <w:t>-Screening negativ:</w:t>
            </w:r>
            <w:r w:rsidR="00C55FE4" w:rsidRPr="00174138">
              <w:rPr>
                <w:rFonts w:eastAsia="Calibri" w:cs="Arial"/>
                <w:color w:val="auto"/>
                <w:sz w:val="14"/>
                <w:szCs w:val="14"/>
              </w:rPr>
              <w:t xml:space="preserve"> tema diversității este integrată în evaluarea ratingului ESG al companiilor, unde contribuie la evaluarea cadrului de guvernanță al companiei și al politicilor acestora. </w:t>
            </w:r>
            <w:r w:rsidR="00C55FE4" w:rsidRPr="00174138">
              <w:rPr>
                <w:color w:val="auto"/>
                <w:sz w:val="14"/>
                <w:szCs w:val="14"/>
              </w:rPr>
              <w:t>Companiile cu cadre insuficiente sau ineficiente vor primi un rating ESG mai scăzut (ESG laggards), ceea ce poate duce la excluderea din portofoliul de investiții Generali.</w:t>
            </w:r>
          </w:p>
          <w:p w14:paraId="0C7EA708" w14:textId="2AC9E832" w:rsidR="00C55FE4" w:rsidRPr="0087494E" w:rsidRDefault="00C55FE4" w:rsidP="00C55FE4">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b/>
                <w:bCs/>
                <w:color w:val="auto"/>
                <w:sz w:val="14"/>
                <w:szCs w:val="14"/>
                <w:lang w:eastAsia="en-US"/>
              </w:rPr>
              <w:t>Proprietate activă</w:t>
            </w:r>
            <w:r w:rsidRPr="00174138">
              <w:rPr>
                <w:rFonts w:eastAsia="Calibri" w:cs="Arial"/>
                <w:color w:val="auto"/>
                <w:sz w:val="14"/>
                <w:szCs w:val="14"/>
                <w:lang w:eastAsia="en-US"/>
              </w:rPr>
              <w:t xml:space="preserve">Generali urmărește dialogul cu o listă de emitenți prioritari care, conform informațiilor disponibile, ar putea îmbunătăți practicile lor de diversitate (de gen), echitate și incluziune pe temele cheie ale diversității de gen la nivel de consiliu și conducere, precum și diferența de remunerare între femei și bărbați în cadrul organizațiilor; (ii) alinierea practicilor de vot ale Grupului cu angajamentele strategice interne ale Grupului Generali și utilizarea voturilor pentru a trage la răspundere companiile în situații de practici proaste de angajare, muncă și remunerare. Pentru informații detaliate, consultați </w:t>
            </w:r>
            <w:r w:rsidR="009B07C7">
              <w:rPr>
                <w:rFonts w:eastAsia="Calibri" w:cs="Arial"/>
                <w:color w:val="auto"/>
                <w:sz w:val="14"/>
                <w:szCs w:val="14"/>
                <w:lang w:eastAsia="en-US"/>
              </w:rPr>
              <w:t xml:space="preserve">Raportul privind acționariatul activ al grupului din 2024 este disponibil pe site-ul Generali.  </w:t>
            </w:r>
            <w:r w:rsidRPr="00174138">
              <w:rPr>
                <w:rFonts w:eastAsia="Calibri" w:cs="Arial"/>
                <w:color w:val="auto"/>
                <w:sz w:val="14"/>
                <w:szCs w:val="14"/>
                <w:lang w:eastAsia="en-US"/>
              </w:rPr>
              <w:t xml:space="preserve">.  </w:t>
            </w:r>
          </w:p>
          <w:p w14:paraId="37F2C8A8" w14:textId="130706D5" w:rsidR="00E71AC2" w:rsidRPr="0087494E" w:rsidRDefault="00E71AC2" w:rsidP="00C55FE4">
            <w:pPr>
              <w:spacing w:before="0" w:after="60" w:line="240" w:lineRule="auto"/>
              <w:contextualSpacing w:val="0"/>
              <w:jc w:val="both"/>
              <w:rPr>
                <w:rFonts w:eastAsia="Calibri" w:cs="Arial"/>
                <w:color w:val="auto"/>
                <w:sz w:val="14"/>
                <w:szCs w:val="14"/>
              </w:rPr>
            </w:pPr>
          </w:p>
        </w:tc>
      </w:tr>
      <w:tr w:rsidR="00E71AC2" w:rsidRPr="00E3260F" w14:paraId="58BB6B62" w14:textId="77777777" w:rsidTr="00B22082">
        <w:tc>
          <w:tcPr>
            <w:tcW w:w="881" w:type="dxa"/>
            <w:vMerge/>
            <w:tcBorders>
              <w:left w:val="single" w:sz="4" w:space="0" w:color="auto"/>
              <w:right w:val="single" w:sz="4" w:space="0" w:color="auto"/>
            </w:tcBorders>
            <w:vAlign w:val="center"/>
            <w:hideMark/>
          </w:tcPr>
          <w:p w14:paraId="7E496847" w14:textId="77777777" w:rsidR="00E71AC2" w:rsidRPr="0087494E" w:rsidRDefault="00E71AC2" w:rsidP="0033273E">
            <w:pPr>
              <w:widowControl/>
              <w:suppressAutoHyphens w:val="0"/>
              <w:spacing w:before="0" w:after="0" w:line="240" w:lineRule="auto"/>
              <w:contextualSpacing w:val="0"/>
              <w:jc w:val="both"/>
              <w:rPr>
                <w:rFonts w:eastAsia="Calibri" w:cs="Arial"/>
                <w:color w:val="auto"/>
                <w:sz w:val="14"/>
                <w:szCs w:val="14"/>
                <w:lang w:eastAsia="en-US"/>
              </w:rPr>
            </w:pPr>
            <w:bookmarkStart w:id="18" w:name="_Hlk56012743"/>
          </w:p>
        </w:tc>
        <w:tc>
          <w:tcPr>
            <w:tcW w:w="1020" w:type="dxa"/>
            <w:tcBorders>
              <w:top w:val="single" w:sz="4" w:space="0" w:color="auto"/>
              <w:left w:val="single" w:sz="4" w:space="0" w:color="auto"/>
              <w:bottom w:val="single" w:sz="4" w:space="0" w:color="auto"/>
              <w:right w:val="single" w:sz="4" w:space="0" w:color="auto"/>
            </w:tcBorders>
            <w:vAlign w:val="center"/>
            <w:hideMark/>
          </w:tcPr>
          <w:p w14:paraId="6132694C" w14:textId="46B5801A" w:rsidR="00E71AC2" w:rsidRPr="0087494E" w:rsidRDefault="00E71AC2" w:rsidP="00324C73">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bCs/>
                <w:noProof/>
                <w:color w:val="auto"/>
                <w:sz w:val="14"/>
                <w:szCs w:val="14"/>
                <w:lang w:eastAsia="en-US"/>
              </w:rPr>
              <w:t>13.Diversitatea de gen în consiliul de administrație</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5FE6C0A" w14:textId="77777777" w:rsidR="00E71AC2" w:rsidRPr="0087494E" w:rsidRDefault="00E71AC2" w:rsidP="00324C73">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4"/>
                <w:lang w:eastAsia="en-US"/>
              </w:rPr>
              <w:t>Raportul mediu dintre femei și bărbați în consiliile de administrație din societățile în care s-a investit, exprimat ca procent din toți membrii consiliilor de administrație</w:t>
            </w:r>
          </w:p>
        </w:tc>
        <w:tc>
          <w:tcPr>
            <w:tcW w:w="1179" w:type="dxa"/>
            <w:tcBorders>
              <w:top w:val="single" w:sz="4" w:space="0" w:color="auto"/>
              <w:left w:val="single" w:sz="4" w:space="0" w:color="auto"/>
              <w:bottom w:val="single" w:sz="4" w:space="0" w:color="auto"/>
              <w:right w:val="single" w:sz="4" w:space="0" w:color="auto"/>
            </w:tcBorders>
            <w:vAlign w:val="center"/>
          </w:tcPr>
          <w:p w14:paraId="6C8396E5" w14:textId="7ECF154C" w:rsidR="00E71AC2" w:rsidRPr="0087494E" w:rsidRDefault="00E71AC2" w:rsidP="00B22082">
            <w:pPr>
              <w:widowControl/>
              <w:suppressAutoHyphens w:val="0"/>
              <w:spacing w:before="0" w:after="0" w:line="240" w:lineRule="auto"/>
              <w:contextualSpacing w:val="0"/>
              <w:rPr>
                <w:rFonts w:eastAsia="Calibri" w:cs="Arial"/>
                <w:noProof/>
                <w:color w:val="auto"/>
                <w:sz w:val="14"/>
                <w:szCs w:val="14"/>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0F40B22D" w14:textId="7AD6001B" w:rsidR="00E71AC2" w:rsidRPr="0087494E" w:rsidRDefault="00E71AC2" w:rsidP="00B22082">
            <w:pPr>
              <w:widowControl/>
              <w:suppressAutoHyphens w:val="0"/>
              <w:spacing w:before="0" w:after="0" w:line="240" w:lineRule="auto"/>
              <w:contextualSpacing w:val="0"/>
              <w:rPr>
                <w:rFonts w:eastAsia="Calibri" w:cs="Arial"/>
                <w:noProof/>
                <w:color w:val="auto"/>
                <w:sz w:val="14"/>
                <w:szCs w:val="14"/>
                <w:lang w:eastAsia="en-US"/>
              </w:rPr>
            </w:pPr>
          </w:p>
        </w:tc>
        <w:tc>
          <w:tcPr>
            <w:tcW w:w="1916" w:type="dxa"/>
            <w:tcBorders>
              <w:top w:val="single" w:sz="4" w:space="0" w:color="auto"/>
              <w:left w:val="single" w:sz="4" w:space="0" w:color="auto"/>
              <w:bottom w:val="single" w:sz="4" w:space="0" w:color="auto"/>
              <w:right w:val="single" w:sz="4" w:space="0" w:color="auto"/>
            </w:tcBorders>
            <w:vAlign w:val="center"/>
          </w:tcPr>
          <w:p w14:paraId="400019E0" w14:textId="25B95F69" w:rsidR="00E71AC2" w:rsidRPr="0087494E" w:rsidRDefault="00E71AC2" w:rsidP="00B22082">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Arial Regular" w:cs="Arial"/>
                <w:color w:val="auto"/>
                <w:sz w:val="14"/>
                <w:szCs w:val="14"/>
                <w:lang w:eastAsia="en-US"/>
              </w:rPr>
              <w:t>Media ponderată a deținerilor de portofoliu a procentului de membri ai consiliului de administrație care sunt femei.</w:t>
            </w:r>
          </w:p>
        </w:tc>
        <w:tc>
          <w:tcPr>
            <w:tcW w:w="5670" w:type="dxa"/>
            <w:vMerge/>
            <w:tcBorders>
              <w:left w:val="single" w:sz="4" w:space="0" w:color="auto"/>
              <w:bottom w:val="single" w:sz="4" w:space="0" w:color="auto"/>
              <w:right w:val="single" w:sz="4" w:space="0" w:color="auto"/>
            </w:tcBorders>
            <w:vAlign w:val="center"/>
          </w:tcPr>
          <w:p w14:paraId="5EED82AF" w14:textId="0614E1E3" w:rsidR="00E71AC2" w:rsidRPr="0087494E" w:rsidRDefault="00E71AC2" w:rsidP="0033273E">
            <w:pPr>
              <w:suppressAutoHyphens w:val="0"/>
              <w:spacing w:before="0" w:after="60" w:line="240" w:lineRule="auto"/>
              <w:contextualSpacing w:val="0"/>
              <w:jc w:val="both"/>
              <w:rPr>
                <w:rFonts w:cs="Arial"/>
                <w:color w:val="auto"/>
                <w:sz w:val="14"/>
                <w:szCs w:val="14"/>
              </w:rPr>
            </w:pPr>
          </w:p>
        </w:tc>
      </w:tr>
      <w:tr w:rsidR="00E71AC2" w:rsidRPr="00E3260F" w14:paraId="1628F339" w14:textId="77777777" w:rsidTr="00B22082">
        <w:tc>
          <w:tcPr>
            <w:tcW w:w="881" w:type="dxa"/>
            <w:vMerge/>
            <w:tcBorders>
              <w:left w:val="single" w:sz="4" w:space="0" w:color="auto"/>
              <w:bottom w:val="single" w:sz="4" w:space="0" w:color="auto"/>
              <w:right w:val="single" w:sz="4" w:space="0" w:color="auto"/>
            </w:tcBorders>
            <w:vAlign w:val="center"/>
            <w:hideMark/>
          </w:tcPr>
          <w:p w14:paraId="29137973" w14:textId="77777777" w:rsidR="00E71AC2" w:rsidRPr="0087494E" w:rsidRDefault="00E71AC2" w:rsidP="0033273E">
            <w:pPr>
              <w:widowControl/>
              <w:suppressAutoHyphens w:val="0"/>
              <w:spacing w:before="0" w:after="0" w:line="240" w:lineRule="auto"/>
              <w:contextualSpacing w:val="0"/>
              <w:jc w:val="both"/>
              <w:rPr>
                <w:rFonts w:eastAsia="Calibri" w:cs="Arial"/>
                <w:color w:val="auto"/>
                <w:sz w:val="14"/>
                <w:szCs w:val="14"/>
                <w:lang w:eastAsia="en-US"/>
              </w:rPr>
            </w:pPr>
            <w:bookmarkStart w:id="19" w:name="_Hlk56012847"/>
            <w:bookmarkEnd w:id="18"/>
          </w:p>
        </w:tc>
        <w:tc>
          <w:tcPr>
            <w:tcW w:w="1020" w:type="dxa"/>
            <w:tcBorders>
              <w:top w:val="single" w:sz="4" w:space="0" w:color="auto"/>
              <w:left w:val="single" w:sz="4" w:space="0" w:color="auto"/>
              <w:bottom w:val="single" w:sz="4" w:space="0" w:color="auto"/>
              <w:right w:val="single" w:sz="4" w:space="0" w:color="auto"/>
            </w:tcBorders>
            <w:vAlign w:val="center"/>
            <w:hideMark/>
          </w:tcPr>
          <w:p w14:paraId="6B270B5D" w14:textId="6FED6C2C" w:rsidR="00E71AC2" w:rsidRPr="0087494E" w:rsidRDefault="00E71AC2" w:rsidP="0033273E">
            <w:pPr>
              <w:widowControl/>
              <w:suppressAutoHyphens w:val="0"/>
              <w:spacing w:before="0" w:after="0" w:line="240" w:lineRule="auto"/>
              <w:contextualSpacing w:val="0"/>
              <w:rPr>
                <w:rFonts w:eastAsia="Calibri" w:cs="Arial"/>
                <w:bCs/>
                <w:noProof/>
                <w:color w:val="auto"/>
                <w:sz w:val="14"/>
                <w:szCs w:val="14"/>
                <w:lang w:eastAsia="en-US"/>
              </w:rPr>
            </w:pPr>
            <w:r w:rsidRPr="00174138">
              <w:rPr>
                <w:rFonts w:eastAsia="Calibri" w:cs="Arial"/>
                <w:noProof/>
                <w:color w:val="auto"/>
                <w:sz w:val="14"/>
                <w:szCs w:val="14"/>
                <w:lang w:eastAsia="en-US"/>
              </w:rPr>
              <w:t>14.Expunerea la arme controversate (mine antipersonal, muniții cu dispersie, arme chimice și arme biologice)</w:t>
            </w:r>
          </w:p>
        </w:tc>
        <w:tc>
          <w:tcPr>
            <w:tcW w:w="2608" w:type="dxa"/>
            <w:tcBorders>
              <w:top w:val="single" w:sz="4" w:space="0" w:color="auto"/>
              <w:left w:val="single" w:sz="4" w:space="0" w:color="auto"/>
              <w:bottom w:val="single" w:sz="4" w:space="0" w:color="auto"/>
              <w:right w:val="single" w:sz="4" w:space="0" w:color="auto"/>
            </w:tcBorders>
            <w:vAlign w:val="center"/>
            <w:hideMark/>
          </w:tcPr>
          <w:p w14:paraId="53EBDFC7" w14:textId="77777777" w:rsidR="00E71AC2" w:rsidRPr="00174138" w:rsidRDefault="00E71AC2" w:rsidP="0033273E">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Ponderea investițiilor în societățile în care s-a investit implicate în fabricarea sau vânzarea de arme controversate</w:t>
            </w:r>
          </w:p>
        </w:tc>
        <w:tc>
          <w:tcPr>
            <w:tcW w:w="1179" w:type="dxa"/>
            <w:tcBorders>
              <w:top w:val="single" w:sz="4" w:space="0" w:color="auto"/>
              <w:left w:val="single" w:sz="4" w:space="0" w:color="auto"/>
              <w:bottom w:val="single" w:sz="4" w:space="0" w:color="auto"/>
              <w:right w:val="single" w:sz="4" w:space="0" w:color="auto"/>
            </w:tcBorders>
          </w:tcPr>
          <w:p w14:paraId="1AF4ABD6" w14:textId="0428E37D" w:rsidR="00E71AC2" w:rsidRPr="00174138" w:rsidRDefault="00E71AC2"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180" w:type="dxa"/>
            <w:tcBorders>
              <w:top w:val="single" w:sz="4" w:space="0" w:color="auto"/>
              <w:left w:val="single" w:sz="4" w:space="0" w:color="auto"/>
              <w:bottom w:val="single" w:sz="4" w:space="0" w:color="auto"/>
              <w:right w:val="single" w:sz="4" w:space="0" w:color="auto"/>
            </w:tcBorders>
          </w:tcPr>
          <w:p w14:paraId="377102B7" w14:textId="395BD3C3" w:rsidR="00E71AC2" w:rsidRPr="00174138" w:rsidRDefault="00E71AC2" w:rsidP="0033273E">
            <w:pPr>
              <w:widowControl/>
              <w:suppressAutoHyphens w:val="0"/>
              <w:spacing w:before="0" w:after="0" w:line="240" w:lineRule="auto"/>
              <w:contextualSpacing w:val="0"/>
              <w:jc w:val="both"/>
              <w:rPr>
                <w:rFonts w:eastAsia="Calibri" w:cs="Arial"/>
                <w:noProof/>
                <w:color w:val="auto"/>
                <w:sz w:val="14"/>
                <w:szCs w:val="14"/>
                <w:lang w:val="en-GB" w:eastAsia="en-US"/>
              </w:rPr>
            </w:pPr>
          </w:p>
        </w:tc>
        <w:tc>
          <w:tcPr>
            <w:tcW w:w="1916" w:type="dxa"/>
            <w:tcBorders>
              <w:top w:val="single" w:sz="4" w:space="0" w:color="auto"/>
              <w:left w:val="single" w:sz="4" w:space="0" w:color="auto"/>
              <w:bottom w:val="single" w:sz="4" w:space="0" w:color="auto"/>
              <w:right w:val="single" w:sz="4" w:space="0" w:color="auto"/>
            </w:tcBorders>
          </w:tcPr>
          <w:p w14:paraId="0581F562" w14:textId="3D7CC390" w:rsidR="00E71AC2" w:rsidRPr="0087494E" w:rsidRDefault="00AA03C7" w:rsidP="00003887">
            <w:pPr>
              <w:widowControl/>
              <w:suppressAutoHyphens w:val="0"/>
              <w:spacing w:before="0" w:after="0" w:line="240" w:lineRule="auto"/>
              <w:contextualSpacing w:val="0"/>
              <w:jc w:val="both"/>
              <w:rPr>
                <w:rFonts w:eastAsia="Calibri" w:cs="Arial"/>
                <w:noProof/>
                <w:color w:val="auto"/>
                <w:sz w:val="14"/>
                <w:szCs w:val="14"/>
                <w:lang w:eastAsia="en-US"/>
              </w:rPr>
            </w:pPr>
            <w:r w:rsidRPr="00174138">
              <w:rPr>
                <w:rFonts w:eastAsia="Calibri" w:cs="Arial"/>
                <w:noProof/>
                <w:color w:val="auto"/>
                <w:sz w:val="14"/>
                <w:szCs w:val="14"/>
                <w:lang w:eastAsia="en-US"/>
              </w:rPr>
              <w:t>Ponderea investițiilor în companiile în care s-a investit implicate în fabricarea sau vânzarea de arme controversate conform metodologiei Generali Group Negative Screening.</w:t>
            </w:r>
          </w:p>
        </w:tc>
        <w:tc>
          <w:tcPr>
            <w:tcW w:w="5670" w:type="dxa"/>
            <w:tcBorders>
              <w:top w:val="single" w:sz="4" w:space="0" w:color="auto"/>
              <w:left w:val="single" w:sz="4" w:space="0" w:color="auto"/>
              <w:bottom w:val="single" w:sz="4" w:space="0" w:color="auto"/>
              <w:right w:val="single" w:sz="4" w:space="0" w:color="auto"/>
            </w:tcBorders>
          </w:tcPr>
          <w:p w14:paraId="3B0C8E1B" w14:textId="6C5D7D5F" w:rsidR="00E71AC2" w:rsidRPr="0087494E" w:rsidRDefault="00E71AC2" w:rsidP="0033273E">
            <w:pPr>
              <w:pStyle w:val="NoSpacing"/>
              <w:spacing w:after="60"/>
              <w:contextualSpacing w:val="0"/>
              <w:jc w:val="both"/>
              <w:rPr>
                <w:rFonts w:cs="Arial"/>
                <w:color w:val="auto"/>
                <w:sz w:val="14"/>
                <w:szCs w:val="14"/>
              </w:rPr>
            </w:pPr>
            <w:r w:rsidRPr="00174138">
              <w:rPr>
                <w:rFonts w:cs="Arial"/>
                <w:b/>
                <w:bCs/>
                <w:color w:val="auto"/>
                <w:sz w:val="14"/>
                <w:szCs w:val="14"/>
              </w:rPr>
              <w:t>- Screening negativ:</w:t>
            </w:r>
            <w:r w:rsidRPr="00174138">
              <w:rPr>
                <w:rFonts w:cs="Arial"/>
                <w:color w:val="auto"/>
                <w:sz w:val="14"/>
                <w:szCs w:val="14"/>
              </w:rPr>
              <w:t xml:space="preserve"> Generali exclude din investițiile sale emitenții care sunt direct implicați în armament și arme care încalcă principiile umanitare fundamentale prin utilizarea lor normală (bombe cu dispersie, mine terestre, arme biologice și chimice, arme cu uraniu sărăcit și arme nucleare, încălcând Tratatul de neproliferare). Excluderea este în concordanță cu angajamentele Grupului, precum și cu reglementările locale relevante (Legea italiană n. 220/2021).</w:t>
            </w:r>
          </w:p>
          <w:p w14:paraId="2042741F" w14:textId="2FABDEFE" w:rsidR="00E71AC2" w:rsidRPr="0087494E" w:rsidRDefault="008B5CC8" w:rsidP="0033273E">
            <w:pPr>
              <w:spacing w:before="0" w:after="60" w:line="240" w:lineRule="auto"/>
              <w:contextualSpacing w:val="0"/>
              <w:rPr>
                <w:rFonts w:cs="Arial"/>
                <w:color w:val="auto"/>
                <w:sz w:val="14"/>
                <w:szCs w:val="14"/>
              </w:rPr>
            </w:pPr>
            <w:r w:rsidRPr="00174138">
              <w:rPr>
                <w:rFonts w:cs="Arial"/>
                <w:color w:val="auto"/>
                <w:sz w:val="14"/>
                <w:szCs w:val="14"/>
              </w:rPr>
              <w:t>A se vedea "Integrarea sustenabilității în Investiții și Ghidul Grupului de Acționariat Activ" (</w:t>
            </w:r>
            <w:r w:rsidR="00C96CAB">
              <w:rPr>
                <w:szCs w:val="24"/>
              </w:rPr>
              <w:fldChar w:fldCharType="begin"/>
            </w:r>
            <w:r w:rsidR="00C96CAB" w:rsidRPr="006A0E03">
              <w:instrText>HYPERLINK "https://www.generali.com/sustainability/responsible-investor/sustainability-into-investments"</w:instrText>
            </w:r>
            <w:r w:rsidR="00C96CAB">
              <w:rPr>
                <w:szCs w:val="24"/>
              </w:rPr>
              <w:fldChar w:fldCharType="separate"/>
            </w:r>
            <w:r w:rsidRPr="00174138">
              <w:rPr>
                <w:rStyle w:val="Hyperlink"/>
                <w:rFonts w:cs="Arial"/>
                <w:sz w:val="14"/>
                <w:szCs w:val="14"/>
              </w:rPr>
              <w:t>legătură</w:t>
            </w:r>
            <w:r w:rsidR="00C96CAB">
              <w:rPr>
                <w:rStyle w:val="Hyperlink"/>
                <w:rFonts w:cs="Arial"/>
                <w:sz w:val="14"/>
                <w:szCs w:val="14"/>
              </w:rPr>
              <w:fldChar w:fldCharType="end"/>
            </w:r>
            <w:r w:rsidRPr="00174138">
              <w:rPr>
                <w:rFonts w:cs="Arial"/>
                <w:color w:val="auto"/>
                <w:sz w:val="14"/>
                <w:szCs w:val="14"/>
              </w:rPr>
              <w:t>) pentru o viziune completă asupra abordării, guvernanței și procesului de excludere a grupului.</w:t>
            </w:r>
          </w:p>
          <w:p w14:paraId="63F7277A" w14:textId="35A02A06" w:rsidR="00D815EC" w:rsidRPr="0087494E" w:rsidRDefault="00E71AC2" w:rsidP="00D815EC">
            <w:pPr>
              <w:widowControl/>
              <w:suppressAutoHyphens w:val="0"/>
              <w:spacing w:before="0" w:after="60" w:line="240" w:lineRule="auto"/>
              <w:contextualSpacing w:val="0"/>
              <w:jc w:val="both"/>
              <w:rPr>
                <w:rFonts w:eastAsia="Calibri" w:cs="Arial"/>
                <w:color w:val="auto"/>
                <w:sz w:val="14"/>
                <w:szCs w:val="14"/>
                <w:lang w:eastAsia="en-US"/>
              </w:rPr>
            </w:pPr>
            <w:r w:rsidRPr="00174138">
              <w:rPr>
                <w:rFonts w:eastAsia="Calibri" w:cs="Arial"/>
                <w:b/>
                <w:bCs/>
                <w:color w:val="auto"/>
                <w:sz w:val="14"/>
                <w:szCs w:val="14"/>
                <w:lang w:eastAsia="en-US"/>
              </w:rPr>
              <w:t>- Proprietate activă</w:t>
            </w:r>
            <w:r w:rsidR="00D815EC" w:rsidRPr="00174138">
              <w:rPr>
                <w:rFonts w:eastAsia="Calibri" w:cs="Arial"/>
                <w:color w:val="auto"/>
                <w:sz w:val="14"/>
                <w:szCs w:val="14"/>
              </w:rPr>
              <w:t xml:space="preserve">: Grupul Generali și-a exercitat drepturile de vot în conformitate cu principiile sale de vot îmbunătățite în materie socială și de angajați, în vigoare din 2023.Aceste principii indică solicitarea companiilor să evalueze cu atenție riscurile legate de factorii sociali semnificativi (precum și să dezvăluie rezultatele unei astfel de evaluări, măsurile de management în vigoare și rezultatele obținute) și să-și tragă la răspundere directorii în situații de încălcări grave sau sistematice sau de lipsă de procese și conformitate mecanisme, practicile de vot au fost </w:t>
            </w:r>
            <w:r w:rsidR="00D815EC" w:rsidRPr="00174138">
              <w:rPr>
                <w:color w:val="auto"/>
                <w:sz w:val="14"/>
                <w:szCs w:val="14"/>
              </w:rPr>
              <w:t xml:space="preserve">în concordanță cu angajamentele Grupului. </w:t>
            </w:r>
            <w:r w:rsidR="00D815EC" w:rsidRPr="00174138">
              <w:rPr>
                <w:rFonts w:eastAsia="Calibri" w:cs="Arial"/>
                <w:color w:val="auto"/>
                <w:sz w:val="14"/>
                <w:szCs w:val="14"/>
                <w:lang w:eastAsia="en-US"/>
              </w:rPr>
              <w:t xml:space="preserve">Pentru informații detaliate, consultați </w:t>
            </w:r>
            <w:r w:rsidR="009B07C7">
              <w:rPr>
                <w:rFonts w:eastAsia="Calibri" w:cs="Arial"/>
                <w:color w:val="auto"/>
                <w:sz w:val="14"/>
                <w:szCs w:val="14"/>
                <w:lang w:eastAsia="en-US"/>
              </w:rPr>
              <w:t xml:space="preserve">Raportul privind acționariatul activ al grupului din 2024 este disponibil pe site-ul Generali.  </w:t>
            </w:r>
            <w:r w:rsidR="00D815EC" w:rsidRPr="00174138">
              <w:rPr>
                <w:rFonts w:eastAsia="Calibri" w:cs="Arial"/>
                <w:color w:val="auto"/>
                <w:sz w:val="14"/>
                <w:szCs w:val="14"/>
                <w:lang w:eastAsia="en-US"/>
              </w:rPr>
              <w:t xml:space="preserve">.  </w:t>
            </w:r>
          </w:p>
          <w:p w14:paraId="65AF6E57" w14:textId="3DCA78DF" w:rsidR="00E71AC2" w:rsidRPr="0087494E" w:rsidRDefault="00E71AC2" w:rsidP="00D815EC">
            <w:pPr>
              <w:spacing w:before="0" w:after="60" w:line="240" w:lineRule="auto"/>
              <w:contextualSpacing w:val="0"/>
              <w:jc w:val="both"/>
              <w:rPr>
                <w:rFonts w:eastAsia="Calibri" w:cs="Arial"/>
                <w:color w:val="auto"/>
                <w:sz w:val="14"/>
                <w:szCs w:val="14"/>
              </w:rPr>
            </w:pPr>
          </w:p>
        </w:tc>
      </w:tr>
      <w:bookmarkEnd w:id="19"/>
    </w:tbl>
    <w:p w14:paraId="09AF5DE0" w14:textId="64E26A89" w:rsidR="00EB296B" w:rsidRPr="0087494E" w:rsidRDefault="00EB296B" w:rsidP="00150FDB">
      <w:pPr>
        <w:spacing w:before="0" w:after="120" w:line="240" w:lineRule="auto"/>
        <w:contextualSpacing w:val="0"/>
        <w:rPr>
          <w:b/>
          <w:color w:val="auto"/>
        </w:rPr>
      </w:pPr>
    </w:p>
    <w:tbl>
      <w:tblPr>
        <w:tblStyle w:val="TableGrid21"/>
        <w:tblW w:w="14544" w:type="dxa"/>
        <w:tblLayout w:type="fixed"/>
        <w:tblCellMar>
          <w:left w:w="28" w:type="dxa"/>
          <w:right w:w="28" w:type="dxa"/>
        </w:tblCellMar>
        <w:tblLook w:val="04A0" w:firstRow="1" w:lastRow="0" w:firstColumn="1" w:lastColumn="0" w:noHBand="0" w:noVBand="1"/>
      </w:tblPr>
      <w:tblGrid>
        <w:gridCol w:w="846"/>
        <w:gridCol w:w="992"/>
        <w:gridCol w:w="2693"/>
        <w:gridCol w:w="1179"/>
        <w:gridCol w:w="1179"/>
        <w:gridCol w:w="1895"/>
        <w:gridCol w:w="5670"/>
        <w:gridCol w:w="90"/>
      </w:tblGrid>
      <w:tr w:rsidR="00740536" w:rsidRPr="00E3260F" w14:paraId="25A75CD2" w14:textId="77777777" w:rsidTr="00B22082">
        <w:trPr>
          <w:gridAfter w:val="1"/>
          <w:wAfter w:w="90" w:type="dxa"/>
          <w:trHeight w:val="340"/>
          <w:tblHeader/>
        </w:trPr>
        <w:tc>
          <w:tcPr>
            <w:tcW w:w="14454" w:type="dxa"/>
            <w:gridSpan w:val="7"/>
            <w:tcBorders>
              <w:top w:val="single" w:sz="4" w:space="0" w:color="auto"/>
              <w:left w:val="single" w:sz="4" w:space="0" w:color="auto"/>
              <w:bottom w:val="single" w:sz="4" w:space="0" w:color="auto"/>
              <w:right w:val="single" w:sz="4" w:space="0" w:color="auto"/>
            </w:tcBorders>
            <w:shd w:val="clear" w:color="auto" w:fill="C00000"/>
          </w:tcPr>
          <w:p w14:paraId="2337904B" w14:textId="06811420" w:rsidR="00740536" w:rsidRPr="0087494E" w:rsidRDefault="00740536" w:rsidP="00150FDB">
            <w:pPr>
              <w:autoSpaceDN w:val="0"/>
              <w:spacing w:before="0" w:after="0" w:line="240" w:lineRule="auto"/>
              <w:contextualSpacing w:val="0"/>
              <w:jc w:val="center"/>
              <w:rPr>
                <w:b/>
                <w:color w:val="auto"/>
                <w:szCs w:val="24"/>
              </w:rPr>
            </w:pPr>
            <w:r w:rsidRPr="00174138">
              <w:rPr>
                <w:b/>
                <w:color w:val="auto"/>
              </w:rPr>
              <w:lastRenderedPageBreak/>
              <w:t>Indicatori aplicabili investițiilor în SUVERANE ȘI SUPRANAȚIONALE</w:t>
            </w:r>
          </w:p>
        </w:tc>
      </w:tr>
      <w:tr w:rsidR="00384528" w:rsidRPr="00E3260F" w14:paraId="78584912" w14:textId="77777777" w:rsidTr="00B22082">
        <w:trPr>
          <w:trHeight w:val="340"/>
          <w:tblHead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27B10190" w14:textId="77777777" w:rsidR="00740536" w:rsidRPr="00174138" w:rsidRDefault="00740536"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Indicator de sustenabilitate negativ</w:t>
            </w:r>
          </w:p>
        </w:tc>
        <w:tc>
          <w:tcPr>
            <w:tcW w:w="2693" w:type="dxa"/>
            <w:tcBorders>
              <w:top w:val="single" w:sz="4" w:space="0" w:color="auto"/>
              <w:left w:val="single" w:sz="4" w:space="0" w:color="auto"/>
              <w:bottom w:val="single" w:sz="4" w:space="0" w:color="auto"/>
              <w:right w:val="single" w:sz="4" w:space="0" w:color="auto"/>
            </w:tcBorders>
            <w:vAlign w:val="center"/>
          </w:tcPr>
          <w:p w14:paraId="4C95CB13" w14:textId="77777777" w:rsidR="00740536" w:rsidRPr="00174138" w:rsidRDefault="00740536"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Metric</w:t>
            </w:r>
          </w:p>
        </w:tc>
        <w:tc>
          <w:tcPr>
            <w:tcW w:w="1179" w:type="dxa"/>
            <w:tcBorders>
              <w:top w:val="single" w:sz="4" w:space="0" w:color="auto"/>
              <w:left w:val="single" w:sz="4" w:space="0" w:color="auto"/>
              <w:bottom w:val="single" w:sz="4" w:space="0" w:color="auto"/>
              <w:right w:val="single" w:sz="4" w:space="0" w:color="auto"/>
            </w:tcBorders>
            <w:vAlign w:val="center"/>
          </w:tcPr>
          <w:p w14:paraId="02D35AE8" w14:textId="1B8BCB78" w:rsidR="00740536" w:rsidRPr="00174138" w:rsidRDefault="00740536"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F154C9">
              <w:rPr>
                <w:rFonts w:eastAsia="Calibri" w:cs="Arial"/>
                <w:b/>
                <w:noProof/>
                <w:color w:val="auto"/>
                <w:sz w:val="16"/>
                <w:szCs w:val="16"/>
                <w:lang w:eastAsia="en-US"/>
              </w:rPr>
              <w:t>4</w:t>
            </w:r>
          </w:p>
          <w:p w14:paraId="299C88F9" w14:textId="02AB8EA5" w:rsidR="00740536" w:rsidRPr="00174138" w:rsidRDefault="00740536"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p>
        </w:tc>
        <w:tc>
          <w:tcPr>
            <w:tcW w:w="1179" w:type="dxa"/>
            <w:tcBorders>
              <w:top w:val="single" w:sz="4" w:space="0" w:color="auto"/>
              <w:left w:val="single" w:sz="4" w:space="0" w:color="auto"/>
              <w:bottom w:val="single" w:sz="4" w:space="0" w:color="auto"/>
              <w:right w:val="single" w:sz="4" w:space="0" w:color="auto"/>
            </w:tcBorders>
            <w:vAlign w:val="center"/>
          </w:tcPr>
          <w:p w14:paraId="753F6F9A" w14:textId="66F82CD0" w:rsidR="00740536" w:rsidRPr="00174138" w:rsidRDefault="00740536" w:rsidP="004D1F49">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F154C9">
              <w:rPr>
                <w:rFonts w:eastAsia="Calibri" w:cs="Arial"/>
                <w:b/>
                <w:noProof/>
                <w:color w:val="auto"/>
                <w:sz w:val="16"/>
                <w:szCs w:val="16"/>
                <w:lang w:eastAsia="en-US"/>
              </w:rPr>
              <w:t>3</w:t>
            </w:r>
          </w:p>
        </w:tc>
        <w:tc>
          <w:tcPr>
            <w:tcW w:w="1895" w:type="dxa"/>
            <w:tcBorders>
              <w:top w:val="single" w:sz="4" w:space="0" w:color="auto"/>
              <w:left w:val="single" w:sz="4" w:space="0" w:color="auto"/>
              <w:bottom w:val="single" w:sz="4" w:space="0" w:color="auto"/>
              <w:right w:val="single" w:sz="4" w:space="0" w:color="auto"/>
            </w:tcBorders>
            <w:vAlign w:val="center"/>
          </w:tcPr>
          <w:p w14:paraId="1DA95B29" w14:textId="04E30EFC" w:rsidR="00740536" w:rsidRPr="00174138" w:rsidRDefault="00740536"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Explicație</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51B033F" w14:textId="77777777" w:rsidR="00740536" w:rsidRPr="0087494E" w:rsidRDefault="00740536"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Acțiunile întreprinse, acțiunile planificate și obiectivele stabilite pentru următoarea perioadă de referință</w:t>
            </w:r>
          </w:p>
        </w:tc>
      </w:tr>
      <w:tr w:rsidR="00384528" w:rsidRPr="00E3260F" w14:paraId="7675647E" w14:textId="77777777" w:rsidTr="00B22082">
        <w:trPr>
          <w:trHeight w:val="1304"/>
        </w:trPr>
        <w:tc>
          <w:tcPr>
            <w:tcW w:w="846" w:type="dxa"/>
            <w:tcBorders>
              <w:top w:val="single" w:sz="4" w:space="0" w:color="auto"/>
              <w:left w:val="single" w:sz="4" w:space="0" w:color="auto"/>
              <w:right w:val="single" w:sz="4" w:space="0" w:color="auto"/>
            </w:tcBorders>
            <w:vAlign w:val="center"/>
          </w:tcPr>
          <w:p w14:paraId="72BBFDE3" w14:textId="77777777" w:rsidR="00740536" w:rsidRPr="00174138" w:rsidRDefault="00740536" w:rsidP="00150FDB">
            <w:pPr>
              <w:widowControl/>
              <w:suppressAutoHyphens w:val="0"/>
              <w:spacing w:before="0" w:after="0" w:line="240" w:lineRule="auto"/>
              <w:contextualSpacing w:val="0"/>
              <w:rPr>
                <w:rFonts w:eastAsia="Calibri" w:cs="Arial"/>
                <w:noProof/>
                <w:color w:val="auto"/>
                <w:sz w:val="14"/>
                <w:szCs w:val="14"/>
                <w:lang w:val="en-GB" w:eastAsia="en-US"/>
              </w:rPr>
            </w:pPr>
            <w:r w:rsidRPr="00174138">
              <w:rPr>
                <w:rFonts w:eastAsia="Calibri" w:cs="Arial"/>
                <w:noProof/>
                <w:color w:val="auto"/>
                <w:sz w:val="14"/>
                <w:szCs w:val="14"/>
                <w:lang w:eastAsia="en-US"/>
              </w:rPr>
              <w:t xml:space="preserve">Mediu </w:t>
            </w:r>
          </w:p>
        </w:tc>
        <w:tc>
          <w:tcPr>
            <w:tcW w:w="992" w:type="dxa"/>
            <w:tcBorders>
              <w:top w:val="single" w:sz="4" w:space="0" w:color="auto"/>
              <w:left w:val="single" w:sz="4" w:space="0" w:color="auto"/>
              <w:bottom w:val="single" w:sz="4" w:space="0" w:color="auto"/>
              <w:right w:val="single" w:sz="4" w:space="0" w:color="auto"/>
            </w:tcBorders>
            <w:vAlign w:val="center"/>
          </w:tcPr>
          <w:p w14:paraId="3107E7AD" w14:textId="16B19528" w:rsidR="00740536" w:rsidRPr="00174138" w:rsidRDefault="00740536" w:rsidP="00150FDB">
            <w:pPr>
              <w:widowControl/>
              <w:suppressAutoHyphens w:val="0"/>
              <w:spacing w:before="0" w:after="0" w:line="240" w:lineRule="auto"/>
              <w:contextualSpacing w:val="0"/>
              <w:rPr>
                <w:rFonts w:cs="Arial"/>
                <w:noProof/>
                <w:color w:val="auto"/>
                <w:sz w:val="14"/>
                <w:szCs w:val="14"/>
                <w:lang w:val="en-GB" w:eastAsia="en-GB"/>
              </w:rPr>
            </w:pPr>
            <w:r w:rsidRPr="00174138">
              <w:rPr>
                <w:rFonts w:cs="Arial"/>
                <w:noProof/>
                <w:color w:val="auto"/>
                <w:sz w:val="14"/>
                <w:szCs w:val="14"/>
                <w:lang w:eastAsia="en-GB"/>
              </w:rPr>
              <w:t>15. Intensitatea gazelor cu efect de seră</w:t>
            </w:r>
          </w:p>
        </w:tc>
        <w:tc>
          <w:tcPr>
            <w:tcW w:w="2693" w:type="dxa"/>
            <w:tcBorders>
              <w:top w:val="single" w:sz="4" w:space="0" w:color="auto"/>
              <w:left w:val="single" w:sz="4" w:space="0" w:color="auto"/>
              <w:bottom w:val="single" w:sz="4" w:space="0" w:color="auto"/>
              <w:right w:val="single" w:sz="4" w:space="0" w:color="auto"/>
            </w:tcBorders>
            <w:vAlign w:val="center"/>
          </w:tcPr>
          <w:p w14:paraId="174F9537" w14:textId="77777777" w:rsidR="00740536" w:rsidRPr="00174138" w:rsidRDefault="00740536" w:rsidP="00150FDB">
            <w:pPr>
              <w:widowControl/>
              <w:suppressAutoHyphens w:val="0"/>
              <w:spacing w:before="0" w:after="0" w:line="240" w:lineRule="auto"/>
              <w:contextualSpacing w:val="0"/>
              <w:rPr>
                <w:rFonts w:eastAsia="Calibri" w:cs="Arial"/>
                <w:noProof/>
                <w:color w:val="auto"/>
                <w:sz w:val="14"/>
                <w:szCs w:val="14"/>
                <w:lang w:val="en-GB" w:eastAsia="en-US"/>
              </w:rPr>
            </w:pPr>
            <w:r w:rsidRPr="0087494E">
              <w:rPr>
                <w:rFonts w:eastAsia="Calibri" w:cs="Arial"/>
                <w:noProof/>
                <w:color w:val="auto"/>
                <w:sz w:val="14"/>
                <w:szCs w:val="14"/>
                <w:lang w:val="en-US" w:eastAsia="en-US"/>
              </w:rPr>
              <w:t>Intensitatea GES a țărilor în care s-a investit</w:t>
            </w:r>
          </w:p>
        </w:tc>
        <w:tc>
          <w:tcPr>
            <w:tcW w:w="1179" w:type="dxa"/>
            <w:tcBorders>
              <w:top w:val="single" w:sz="4" w:space="0" w:color="auto"/>
              <w:left w:val="single" w:sz="4" w:space="0" w:color="auto"/>
              <w:bottom w:val="single" w:sz="4" w:space="0" w:color="auto"/>
              <w:right w:val="single" w:sz="4" w:space="0" w:color="auto"/>
            </w:tcBorders>
            <w:vAlign w:val="center"/>
          </w:tcPr>
          <w:p w14:paraId="631C2FC0" w14:textId="625B4099" w:rsidR="00740536" w:rsidRPr="00174138" w:rsidRDefault="00740536" w:rsidP="00150FDB">
            <w:pPr>
              <w:widowControl/>
              <w:suppressAutoHyphens w:val="0"/>
              <w:spacing w:before="0" w:after="0" w:line="240" w:lineRule="auto"/>
              <w:contextualSpacing w:val="0"/>
              <w:rPr>
                <w:rFonts w:eastAsia="Calibri" w:cs="Arial"/>
                <w:noProof/>
                <w:color w:val="auto"/>
                <w:sz w:val="12"/>
                <w:szCs w:val="10"/>
                <w:lang w:val="en-GB" w:eastAsia="en-US"/>
              </w:rPr>
            </w:pPr>
          </w:p>
        </w:tc>
        <w:tc>
          <w:tcPr>
            <w:tcW w:w="1179" w:type="dxa"/>
            <w:tcBorders>
              <w:top w:val="single" w:sz="4" w:space="0" w:color="auto"/>
              <w:left w:val="single" w:sz="4" w:space="0" w:color="auto"/>
              <w:bottom w:val="single" w:sz="4" w:space="0" w:color="auto"/>
              <w:right w:val="single" w:sz="4" w:space="0" w:color="auto"/>
            </w:tcBorders>
            <w:vAlign w:val="center"/>
          </w:tcPr>
          <w:p w14:paraId="4B60D19C" w14:textId="10F000CC" w:rsidR="00740536" w:rsidRPr="00174138" w:rsidRDefault="00740536" w:rsidP="00150FDB">
            <w:pPr>
              <w:widowControl/>
              <w:suppressAutoHyphens w:val="0"/>
              <w:spacing w:before="0" w:after="0" w:line="240" w:lineRule="auto"/>
              <w:contextualSpacing w:val="0"/>
              <w:rPr>
                <w:rFonts w:eastAsia="Calibri" w:cs="Arial"/>
                <w:noProof/>
                <w:color w:val="auto"/>
                <w:sz w:val="12"/>
                <w:szCs w:val="10"/>
                <w:lang w:val="en-GB" w:eastAsia="en-US"/>
              </w:rPr>
            </w:pPr>
          </w:p>
        </w:tc>
        <w:tc>
          <w:tcPr>
            <w:tcW w:w="1895" w:type="dxa"/>
            <w:tcBorders>
              <w:top w:val="single" w:sz="4" w:space="0" w:color="auto"/>
              <w:left w:val="single" w:sz="4" w:space="0" w:color="auto"/>
              <w:bottom w:val="single" w:sz="4" w:space="0" w:color="auto"/>
              <w:right w:val="single" w:sz="4" w:space="0" w:color="auto"/>
            </w:tcBorders>
            <w:vAlign w:val="center"/>
          </w:tcPr>
          <w:p w14:paraId="5C5626FC" w14:textId="68FC780D" w:rsidR="00740536" w:rsidRPr="0087494E" w:rsidRDefault="00740536" w:rsidP="00150FDB">
            <w:pPr>
              <w:widowControl/>
              <w:suppressAutoHyphens w:val="0"/>
              <w:spacing w:before="0" w:after="0" w:line="240" w:lineRule="auto"/>
              <w:contextualSpacing w:val="0"/>
              <w:rPr>
                <w:rFonts w:eastAsia="Calibri" w:cs="Arial"/>
                <w:noProof/>
                <w:color w:val="auto"/>
                <w:sz w:val="14"/>
                <w:szCs w:val="12"/>
                <w:lang w:eastAsia="en-US"/>
              </w:rPr>
            </w:pPr>
            <w:r w:rsidRPr="00174138">
              <w:rPr>
                <w:rFonts w:eastAsia="Calibri" w:cs="Arial"/>
                <w:noProof/>
                <w:color w:val="auto"/>
                <w:sz w:val="14"/>
                <w:szCs w:val="12"/>
                <w:lang w:eastAsia="en-US"/>
              </w:rPr>
              <w:t>Media ponderată a portofoliului de intensitate a emisiilor de gaze cu efect de seră ale emitenților suverani (emisii Scope 1, 2 și 3/EUR M PIB)</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70227F2A" w14:textId="2469FCEF" w:rsidR="00740536" w:rsidRPr="0087494E" w:rsidRDefault="003D0E53" w:rsidP="00085CE0">
            <w:pPr>
              <w:suppressAutoHyphens w:val="0"/>
              <w:spacing w:before="0" w:after="0" w:line="240" w:lineRule="auto"/>
              <w:contextualSpacing w:val="0"/>
              <w:jc w:val="both"/>
              <w:rPr>
                <w:color w:val="auto"/>
                <w:sz w:val="14"/>
                <w:szCs w:val="14"/>
              </w:rPr>
            </w:pPr>
            <w:r w:rsidRPr="00174138">
              <w:rPr>
                <w:color w:val="auto"/>
                <w:sz w:val="14"/>
                <w:szCs w:val="14"/>
              </w:rPr>
              <w:t xml:space="preserve">Generali s-a angajat să atingă zero emisii nete pentru portofoliul de investiții (inclusiv investițiile suverane) până în 2050. În concordanță cu acest angajament, Grupul a început să urmărească amprenta de carbon a investițiilor sale suverane cu intenția de a o integra progresiv în deciziile de investiții. Emisiile de carbon ale emitenților suverani sunt, de asemenea, incluse în evaluarea profilului climatic al țărilor, ceea ce contribuie la formarea ratingului ESG implementat în deciziile de investiții ale Grupului și poate duce la excluderea din investițiile Grupului în cazul în care țara este identificată ca fiind întârziată în ESG. </w:t>
            </w:r>
          </w:p>
        </w:tc>
      </w:tr>
      <w:tr w:rsidR="004316B3" w:rsidRPr="00E3260F" w14:paraId="7C309226" w14:textId="77777777" w:rsidTr="00B22082">
        <w:trPr>
          <w:trHeight w:val="1020"/>
        </w:trPr>
        <w:tc>
          <w:tcPr>
            <w:tcW w:w="846" w:type="dxa"/>
            <w:vMerge w:val="restart"/>
            <w:tcBorders>
              <w:top w:val="single" w:sz="4" w:space="0" w:color="auto"/>
              <w:left w:val="single" w:sz="4" w:space="0" w:color="auto"/>
              <w:right w:val="single" w:sz="4" w:space="0" w:color="auto"/>
            </w:tcBorders>
            <w:vAlign w:val="center"/>
          </w:tcPr>
          <w:p w14:paraId="07163DAE" w14:textId="03622150" w:rsidR="004316B3" w:rsidRPr="00174138" w:rsidRDefault="004316B3" w:rsidP="004316B3">
            <w:pPr>
              <w:spacing w:before="0" w:after="0" w:line="240" w:lineRule="auto"/>
              <w:rPr>
                <w:rFonts w:eastAsia="Calibri" w:cs="Arial"/>
                <w:noProof/>
                <w:color w:val="auto"/>
                <w:sz w:val="14"/>
                <w:szCs w:val="14"/>
                <w:lang w:val="en-GB" w:eastAsia="en-US"/>
              </w:rPr>
            </w:pPr>
            <w:r w:rsidRPr="00174138">
              <w:rPr>
                <w:rFonts w:eastAsia="Calibri" w:cs="Arial"/>
                <w:noProof/>
                <w:color w:val="auto"/>
                <w:sz w:val="14"/>
                <w:szCs w:val="14"/>
                <w:lang w:eastAsia="en-US"/>
              </w:rPr>
              <w:t xml:space="preserve">Social </w:t>
            </w:r>
          </w:p>
        </w:tc>
        <w:tc>
          <w:tcPr>
            <w:tcW w:w="992" w:type="dxa"/>
            <w:vMerge w:val="restart"/>
            <w:tcBorders>
              <w:top w:val="single" w:sz="4" w:space="0" w:color="auto"/>
              <w:left w:val="single" w:sz="4" w:space="0" w:color="auto"/>
              <w:right w:val="single" w:sz="4" w:space="0" w:color="auto"/>
            </w:tcBorders>
            <w:vAlign w:val="center"/>
          </w:tcPr>
          <w:p w14:paraId="183CAAD8" w14:textId="77777777" w:rsidR="004316B3" w:rsidRPr="00174138" w:rsidRDefault="004316B3" w:rsidP="004316B3">
            <w:pPr>
              <w:widowControl/>
              <w:suppressAutoHyphens w:val="0"/>
              <w:spacing w:before="0" w:after="0" w:line="240" w:lineRule="auto"/>
              <w:contextualSpacing w:val="0"/>
              <w:rPr>
                <w:rFonts w:cs="Arial"/>
                <w:noProof/>
                <w:color w:val="auto"/>
                <w:sz w:val="14"/>
                <w:szCs w:val="14"/>
                <w:lang w:val="en-GB" w:eastAsia="en-GB"/>
              </w:rPr>
            </w:pPr>
          </w:p>
          <w:p w14:paraId="7B48F4B4" w14:textId="7348C404" w:rsidR="004316B3" w:rsidRPr="00174138" w:rsidRDefault="004316B3" w:rsidP="004316B3">
            <w:pPr>
              <w:spacing w:before="0" w:after="0" w:line="240" w:lineRule="auto"/>
              <w:rPr>
                <w:rFonts w:cs="Arial"/>
                <w:noProof/>
                <w:color w:val="auto"/>
                <w:sz w:val="14"/>
                <w:szCs w:val="14"/>
                <w:lang w:val="en-GB" w:eastAsia="en-GB"/>
              </w:rPr>
            </w:pPr>
            <w:r w:rsidRPr="00174138">
              <w:rPr>
                <w:rFonts w:cs="Arial"/>
                <w:noProof/>
                <w:color w:val="auto"/>
                <w:sz w:val="14"/>
                <w:szCs w:val="14"/>
                <w:lang w:eastAsia="en-GB"/>
              </w:rPr>
              <w:t>16.Țările în care s-a investit fac obiectul unor încălcări sociale</w:t>
            </w:r>
          </w:p>
        </w:tc>
        <w:tc>
          <w:tcPr>
            <w:tcW w:w="2693" w:type="dxa"/>
            <w:vMerge w:val="restart"/>
            <w:tcBorders>
              <w:top w:val="single" w:sz="4" w:space="0" w:color="auto"/>
              <w:left w:val="single" w:sz="4" w:space="0" w:color="auto"/>
              <w:right w:val="single" w:sz="4" w:space="0" w:color="auto"/>
            </w:tcBorders>
            <w:vAlign w:val="center"/>
          </w:tcPr>
          <w:p w14:paraId="38E09BF2" w14:textId="17472748" w:rsidR="004316B3" w:rsidRPr="00174138" w:rsidRDefault="004316B3" w:rsidP="004316B3">
            <w:pPr>
              <w:spacing w:before="0" w:after="0" w:line="240" w:lineRule="auto"/>
              <w:rPr>
                <w:rFonts w:eastAsia="Calibri" w:cs="Arial"/>
                <w:bCs/>
                <w:noProof/>
                <w:color w:val="auto"/>
                <w:sz w:val="14"/>
                <w:szCs w:val="14"/>
                <w:lang w:val="en-GB" w:eastAsia="en-US"/>
              </w:rPr>
            </w:pPr>
            <w:r w:rsidRPr="0087494E">
              <w:rPr>
                <w:rFonts w:eastAsia="Calibri" w:cs="Arial"/>
                <w:bCs/>
                <w:noProof/>
                <w:color w:val="auto"/>
                <w:sz w:val="14"/>
                <w:szCs w:val="14"/>
                <w:lang w:val="en-GB" w:eastAsia="en-US"/>
              </w:rPr>
              <w:t>Numărul de țări în care s-a investit care fac obiectul unor încălcări sociale (numărul absolut și numărul relativ împărțit la toate țările în care s-a investit), astfel cum se menționează în tratatele și convențiile internaționale, în principiile Organizației Națiunilor Unite și, după caz, în legislația națională</w:t>
            </w:r>
          </w:p>
        </w:tc>
        <w:tc>
          <w:tcPr>
            <w:tcW w:w="1179" w:type="dxa"/>
            <w:tcBorders>
              <w:top w:val="single" w:sz="4" w:space="0" w:color="auto"/>
              <w:left w:val="single" w:sz="4" w:space="0" w:color="auto"/>
              <w:bottom w:val="single" w:sz="4" w:space="0" w:color="auto"/>
              <w:right w:val="single" w:sz="4" w:space="0" w:color="auto"/>
            </w:tcBorders>
          </w:tcPr>
          <w:p w14:paraId="1BCB64D0" w14:textId="77777777" w:rsidR="004316B3" w:rsidRPr="00174138" w:rsidDel="00F851A1" w:rsidRDefault="004316B3" w:rsidP="004316B3">
            <w:pPr>
              <w:widowControl/>
              <w:suppressAutoHyphens w:val="0"/>
              <w:spacing w:before="0" w:after="0" w:line="240" w:lineRule="auto"/>
              <w:contextualSpacing w:val="0"/>
              <w:rPr>
                <w:rFonts w:eastAsia="Calibri" w:cs="Arial"/>
                <w:noProof/>
                <w:color w:val="auto"/>
                <w:sz w:val="12"/>
                <w:szCs w:val="10"/>
                <w:lang w:val="en-GB" w:eastAsia="en-US"/>
              </w:rPr>
            </w:pPr>
          </w:p>
        </w:tc>
        <w:tc>
          <w:tcPr>
            <w:tcW w:w="1179" w:type="dxa"/>
            <w:tcBorders>
              <w:top w:val="single" w:sz="4" w:space="0" w:color="auto"/>
              <w:left w:val="single" w:sz="4" w:space="0" w:color="auto"/>
              <w:bottom w:val="single" w:sz="4" w:space="0" w:color="auto"/>
              <w:right w:val="single" w:sz="4" w:space="0" w:color="auto"/>
            </w:tcBorders>
          </w:tcPr>
          <w:p w14:paraId="64E7477E" w14:textId="77777777" w:rsidR="004316B3" w:rsidRPr="00174138" w:rsidRDefault="004316B3" w:rsidP="004316B3">
            <w:pPr>
              <w:widowControl/>
              <w:suppressAutoHyphens w:val="0"/>
              <w:spacing w:before="0" w:after="0" w:line="240" w:lineRule="auto"/>
              <w:contextualSpacing w:val="0"/>
              <w:rPr>
                <w:rFonts w:eastAsia="Calibri" w:cs="Arial"/>
                <w:noProof/>
                <w:color w:val="auto"/>
                <w:sz w:val="12"/>
                <w:szCs w:val="10"/>
                <w:lang w:val="en-GB" w:eastAsia="en-US"/>
              </w:rPr>
            </w:pPr>
          </w:p>
        </w:tc>
        <w:tc>
          <w:tcPr>
            <w:tcW w:w="1895" w:type="dxa"/>
            <w:tcBorders>
              <w:top w:val="single" w:sz="4" w:space="0" w:color="auto"/>
              <w:left w:val="single" w:sz="4" w:space="0" w:color="auto"/>
              <w:bottom w:val="single" w:sz="4" w:space="0" w:color="auto"/>
              <w:right w:val="single" w:sz="4" w:space="0" w:color="auto"/>
            </w:tcBorders>
          </w:tcPr>
          <w:p w14:paraId="17AE9500" w14:textId="54491B5D" w:rsidR="004316B3" w:rsidRPr="0087494E" w:rsidRDefault="004316B3" w:rsidP="004316B3">
            <w:pPr>
              <w:widowControl/>
              <w:suppressAutoHyphens w:val="0"/>
              <w:spacing w:before="0" w:after="0" w:line="240" w:lineRule="auto"/>
              <w:contextualSpacing w:val="0"/>
              <w:rPr>
                <w:rFonts w:eastAsia="Calibri" w:cs="Arial"/>
                <w:noProof/>
                <w:color w:val="auto"/>
                <w:sz w:val="14"/>
                <w:szCs w:val="12"/>
                <w:lang w:eastAsia="en-US"/>
              </w:rPr>
            </w:pPr>
            <w:r w:rsidRPr="00174138">
              <w:rPr>
                <w:rFonts w:eastAsia="Calibri" w:cs="Arial"/>
                <w:noProof/>
                <w:color w:val="auto"/>
                <w:sz w:val="14"/>
                <w:szCs w:val="12"/>
                <w:lang w:eastAsia="en-US"/>
              </w:rPr>
              <w:t>Numărul de emitenți suverani unici din portofoliu implicați în încălcări sociale, evaluat conform metodologiei de screening negativ a Grupului Generali.</w:t>
            </w:r>
          </w:p>
        </w:tc>
        <w:tc>
          <w:tcPr>
            <w:tcW w:w="5760" w:type="dxa"/>
            <w:gridSpan w:val="2"/>
            <w:vMerge w:val="restart"/>
            <w:tcBorders>
              <w:top w:val="single" w:sz="4" w:space="0" w:color="auto"/>
              <w:left w:val="single" w:sz="4" w:space="0" w:color="auto"/>
              <w:right w:val="single" w:sz="4" w:space="0" w:color="auto"/>
            </w:tcBorders>
            <w:vAlign w:val="center"/>
          </w:tcPr>
          <w:p w14:paraId="15849F4B" w14:textId="77777777" w:rsidR="004316B3" w:rsidRPr="0087494E" w:rsidRDefault="004316B3" w:rsidP="004316B3">
            <w:pPr>
              <w:suppressAutoHyphens w:val="0"/>
              <w:spacing w:before="0" w:after="0" w:line="240" w:lineRule="auto"/>
              <w:contextualSpacing w:val="0"/>
              <w:jc w:val="both"/>
              <w:rPr>
                <w:color w:val="auto"/>
                <w:sz w:val="14"/>
                <w:szCs w:val="14"/>
              </w:rPr>
            </w:pPr>
            <w:r w:rsidRPr="00174138">
              <w:rPr>
                <w:b/>
                <w:color w:val="auto"/>
                <w:sz w:val="14"/>
                <w:szCs w:val="14"/>
              </w:rPr>
              <w:t>Examinarea negativă:</w:t>
            </w:r>
            <w:r w:rsidRPr="00174138">
              <w:rPr>
                <w:color w:val="auto"/>
                <w:sz w:val="14"/>
                <w:szCs w:val="14"/>
              </w:rPr>
              <w:t xml:space="preserve"> Abordarea de excludere a Generali pentru suverani acoperă următoarele:</w:t>
            </w:r>
          </w:p>
          <w:p w14:paraId="1BDFB90B" w14:textId="77777777" w:rsidR="004316B3" w:rsidRPr="0087494E" w:rsidRDefault="004316B3" w:rsidP="004316B3">
            <w:pPr>
              <w:suppressAutoHyphens w:val="0"/>
              <w:spacing w:before="0" w:after="0" w:line="240" w:lineRule="auto"/>
              <w:contextualSpacing w:val="0"/>
              <w:jc w:val="both"/>
              <w:rPr>
                <w:color w:val="auto"/>
                <w:sz w:val="14"/>
                <w:szCs w:val="14"/>
              </w:rPr>
            </w:pPr>
            <w:r w:rsidRPr="00174138">
              <w:rPr>
                <w:color w:val="auto"/>
                <w:sz w:val="14"/>
                <w:szCs w:val="14"/>
              </w:rPr>
              <w:t>- Conformitate / excludere bazată pe norme: emitenți considerați nealiniați la liniile directoare și normele internaționale privind spălarea banilor, finanțarea terorismului sau practicile fiscale:</w:t>
            </w:r>
          </w:p>
          <w:p w14:paraId="70CAA8B2" w14:textId="3318B613" w:rsidR="004316B3" w:rsidRPr="0087494E" w:rsidRDefault="004316B3" w:rsidP="004316B3">
            <w:pPr>
              <w:suppressAutoHyphens w:val="0"/>
              <w:spacing w:before="0" w:after="0" w:line="240" w:lineRule="auto"/>
              <w:contextualSpacing w:val="0"/>
              <w:jc w:val="both"/>
              <w:rPr>
                <w:color w:val="auto"/>
                <w:sz w:val="14"/>
                <w:szCs w:val="14"/>
              </w:rPr>
            </w:pPr>
            <w:r w:rsidRPr="00174138">
              <w:rPr>
                <w:color w:val="auto"/>
                <w:sz w:val="14"/>
                <w:szCs w:val="14"/>
              </w:rPr>
              <w:t>- emitenți care prezintă probleme de mediu, sociale sau de guvernanță foarte grave în legătură cu problemele de mediu (defrișări</w:t>
            </w:r>
            <w:r w:rsidR="004F1899">
              <w:rPr>
                <w:color w:val="auto"/>
                <w:sz w:val="14"/>
                <w:szCs w:val="14"/>
              </w:rPr>
              <w:t xml:space="preserve"> și schimbări climatice</w:t>
            </w:r>
            <w:r w:rsidRPr="00174138">
              <w:rPr>
                <w:color w:val="auto"/>
                <w:sz w:val="14"/>
                <w:szCs w:val="14"/>
              </w:rPr>
              <w:t>); Probleme sociale (încălcări foarte grave ale drepturilor omului</w:t>
            </w:r>
            <w:r w:rsidR="00B849DC">
              <w:rPr>
                <w:color w:val="auto"/>
                <w:sz w:val="14"/>
                <w:szCs w:val="14"/>
              </w:rPr>
              <w:t>, egalitate economică și de gen; libertate</w:t>
            </w:r>
            <w:r w:rsidRPr="00174138">
              <w:rPr>
                <w:color w:val="auto"/>
                <w:sz w:val="14"/>
                <w:szCs w:val="14"/>
              </w:rPr>
              <w:t>) și probleme de guvernanță (</w:t>
            </w:r>
            <w:r w:rsidR="008C1F8C">
              <w:rPr>
                <w:color w:val="auto"/>
                <w:sz w:val="14"/>
                <w:szCs w:val="14"/>
              </w:rPr>
              <w:t xml:space="preserve">stabilitate politică, </w:t>
            </w:r>
            <w:r w:rsidRPr="00174138">
              <w:rPr>
                <w:color w:val="auto"/>
                <w:sz w:val="14"/>
                <w:szCs w:val="14"/>
              </w:rPr>
              <w:t>corupție</w:t>
            </w:r>
            <w:r w:rsidR="00206FA6">
              <w:rPr>
                <w:color w:val="auto"/>
                <w:sz w:val="14"/>
                <w:szCs w:val="14"/>
              </w:rPr>
              <w:t xml:space="preserve">, calitate a </w:t>
            </w:r>
            <w:r w:rsidRPr="00174138">
              <w:rPr>
                <w:color w:val="auto"/>
                <w:sz w:val="14"/>
                <w:szCs w:val="14"/>
              </w:rPr>
              <w:t>reglementărilor).</w:t>
            </w:r>
            <w:r w:rsidR="001E4D4C" w:rsidRPr="00667CC2">
              <w:rPr>
                <w:color w:val="auto"/>
                <w:sz w:val="14"/>
                <w:szCs w:val="14"/>
              </w:rPr>
              <w:t xml:space="preserve"> Investițiile în țările suverane sunt efectuate de Grup în conformitate cu sancțiunile internaționale (SUA; UE; ONU).</w:t>
            </w:r>
          </w:p>
          <w:p w14:paraId="29B69C5E" w14:textId="6D86E087" w:rsidR="004316B3" w:rsidRPr="0087494E" w:rsidRDefault="004316B3" w:rsidP="004316B3">
            <w:pPr>
              <w:suppressAutoHyphens w:val="0"/>
              <w:spacing w:before="0" w:after="0" w:line="240" w:lineRule="auto"/>
              <w:contextualSpacing w:val="0"/>
              <w:jc w:val="both"/>
              <w:rPr>
                <w:color w:val="auto"/>
                <w:sz w:val="14"/>
                <w:szCs w:val="14"/>
              </w:rPr>
            </w:pPr>
            <w:r w:rsidRPr="00174138">
              <w:rPr>
                <w:color w:val="auto"/>
                <w:sz w:val="14"/>
                <w:szCs w:val="14"/>
              </w:rPr>
              <w:t>- În plus, Grupul exclude din investițiile sale întârziații pe baza ratingului ESG</w:t>
            </w:r>
            <w:r w:rsidR="001E4D4C">
              <w:rPr>
                <w:color w:val="auto"/>
                <w:sz w:val="14"/>
                <w:szCs w:val="14"/>
              </w:rPr>
              <w:t>.</w:t>
            </w:r>
          </w:p>
          <w:p w14:paraId="1F96EDE1" w14:textId="111931CC" w:rsidR="004316B3" w:rsidRPr="0087494E" w:rsidRDefault="004316B3" w:rsidP="004316B3">
            <w:pPr>
              <w:spacing w:before="0" w:after="60" w:line="240" w:lineRule="auto"/>
              <w:jc w:val="both"/>
              <w:rPr>
                <w:b/>
                <w:color w:val="auto"/>
                <w:sz w:val="14"/>
                <w:szCs w:val="14"/>
              </w:rPr>
            </w:pPr>
            <w:r w:rsidRPr="00174138">
              <w:rPr>
                <w:rFonts w:cs="Arial"/>
                <w:color w:val="auto"/>
                <w:sz w:val="14"/>
                <w:szCs w:val="14"/>
              </w:rPr>
              <w:t>A se vedea "Integrarea sustenabilității în Investiții și Ghidul Grupului de Acționariat Activ" (</w:t>
            </w:r>
            <w:r>
              <w:fldChar w:fldCharType="begin"/>
            </w:r>
            <w:r w:rsidRPr="00E3260F">
              <w:instrText>HYPERLINK "https://www.generali.com/sustainability/responsible-investor/sustainability-into-investments"</w:instrText>
            </w:r>
            <w:r>
              <w:fldChar w:fldCharType="separate"/>
            </w:r>
            <w:r w:rsidRPr="00174138">
              <w:rPr>
                <w:rStyle w:val="Hyperlink"/>
                <w:rFonts w:cs="Arial"/>
                <w:sz w:val="14"/>
                <w:szCs w:val="14"/>
              </w:rPr>
              <w:t>legătură</w:t>
            </w:r>
            <w:r>
              <w:fldChar w:fldCharType="end"/>
            </w:r>
            <w:r w:rsidRPr="00174138">
              <w:rPr>
                <w:rFonts w:cs="Arial"/>
                <w:color w:val="auto"/>
                <w:sz w:val="14"/>
                <w:szCs w:val="14"/>
              </w:rPr>
              <w:t xml:space="preserve">) pentru o viziune completă asupra abordării, guvernanței și procesului de excludere a Grupului. </w:t>
            </w:r>
          </w:p>
        </w:tc>
      </w:tr>
      <w:tr w:rsidR="004316B3" w:rsidRPr="00E3260F" w14:paraId="2A513244" w14:textId="77777777" w:rsidTr="00B22082">
        <w:tc>
          <w:tcPr>
            <w:tcW w:w="846" w:type="dxa"/>
            <w:vMerge/>
            <w:tcBorders>
              <w:left w:val="single" w:sz="4" w:space="0" w:color="auto"/>
              <w:bottom w:val="single" w:sz="4" w:space="0" w:color="auto"/>
              <w:right w:val="single" w:sz="4" w:space="0" w:color="auto"/>
            </w:tcBorders>
            <w:vAlign w:val="center"/>
            <w:hideMark/>
          </w:tcPr>
          <w:p w14:paraId="109D27E4" w14:textId="0F218B53" w:rsidR="004316B3" w:rsidRPr="0087494E" w:rsidRDefault="004316B3" w:rsidP="004316B3">
            <w:pPr>
              <w:widowControl/>
              <w:suppressAutoHyphens w:val="0"/>
              <w:spacing w:before="0" w:after="0" w:line="240" w:lineRule="auto"/>
              <w:contextualSpacing w:val="0"/>
              <w:rPr>
                <w:rFonts w:eastAsia="Calibri" w:cs="Arial"/>
                <w:noProof/>
                <w:color w:val="auto"/>
                <w:sz w:val="14"/>
                <w:szCs w:val="14"/>
                <w:lang w:eastAsia="en-US"/>
              </w:rPr>
            </w:pPr>
          </w:p>
        </w:tc>
        <w:tc>
          <w:tcPr>
            <w:tcW w:w="992" w:type="dxa"/>
            <w:vMerge/>
            <w:tcBorders>
              <w:left w:val="single" w:sz="4" w:space="0" w:color="auto"/>
              <w:bottom w:val="single" w:sz="4" w:space="0" w:color="auto"/>
              <w:right w:val="single" w:sz="4" w:space="0" w:color="auto"/>
            </w:tcBorders>
            <w:vAlign w:val="center"/>
          </w:tcPr>
          <w:p w14:paraId="781021E1" w14:textId="3B7B409B" w:rsidR="004316B3" w:rsidRPr="0087494E" w:rsidRDefault="004316B3" w:rsidP="004316B3">
            <w:pPr>
              <w:widowControl/>
              <w:suppressAutoHyphens w:val="0"/>
              <w:spacing w:before="0" w:after="0" w:line="240" w:lineRule="auto"/>
              <w:contextualSpacing w:val="0"/>
              <w:rPr>
                <w:rFonts w:cs="Arial"/>
                <w:noProof/>
                <w:color w:val="auto"/>
                <w:sz w:val="14"/>
                <w:szCs w:val="14"/>
                <w:lang w:eastAsia="en-GB"/>
              </w:rPr>
            </w:pPr>
          </w:p>
        </w:tc>
        <w:tc>
          <w:tcPr>
            <w:tcW w:w="2693" w:type="dxa"/>
            <w:vMerge/>
            <w:tcBorders>
              <w:left w:val="single" w:sz="4" w:space="0" w:color="auto"/>
              <w:bottom w:val="single" w:sz="4" w:space="0" w:color="auto"/>
              <w:right w:val="single" w:sz="4" w:space="0" w:color="auto"/>
            </w:tcBorders>
            <w:vAlign w:val="center"/>
          </w:tcPr>
          <w:p w14:paraId="1DF09C97" w14:textId="603EA205" w:rsidR="004316B3" w:rsidRPr="0087494E" w:rsidRDefault="004316B3" w:rsidP="004316B3">
            <w:pPr>
              <w:widowControl/>
              <w:suppressAutoHyphens w:val="0"/>
              <w:spacing w:before="0" w:after="0" w:line="240" w:lineRule="auto"/>
              <w:contextualSpacing w:val="0"/>
              <w:rPr>
                <w:rFonts w:eastAsia="Calibri" w:cs="Arial"/>
                <w:noProof/>
                <w:color w:val="auto"/>
                <w:sz w:val="14"/>
                <w:szCs w:val="14"/>
                <w:lang w:eastAsia="en-US"/>
              </w:rPr>
            </w:pPr>
          </w:p>
        </w:tc>
        <w:tc>
          <w:tcPr>
            <w:tcW w:w="1179" w:type="dxa"/>
            <w:tcBorders>
              <w:top w:val="single" w:sz="4" w:space="0" w:color="auto"/>
              <w:left w:val="single" w:sz="4" w:space="0" w:color="auto"/>
              <w:bottom w:val="single" w:sz="4" w:space="0" w:color="auto"/>
              <w:right w:val="single" w:sz="4" w:space="0" w:color="auto"/>
            </w:tcBorders>
          </w:tcPr>
          <w:p w14:paraId="32B41D68" w14:textId="0E9811D7" w:rsidR="004316B3" w:rsidRPr="0087494E" w:rsidRDefault="004316B3" w:rsidP="004316B3">
            <w:pPr>
              <w:widowControl/>
              <w:suppressAutoHyphens w:val="0"/>
              <w:spacing w:before="0" w:after="0" w:line="240" w:lineRule="auto"/>
              <w:contextualSpacing w:val="0"/>
              <w:rPr>
                <w:rFonts w:eastAsia="Calibri" w:cs="Arial"/>
                <w:noProof/>
                <w:color w:val="auto"/>
                <w:sz w:val="12"/>
                <w:szCs w:val="10"/>
                <w:lang w:eastAsia="en-US"/>
              </w:rPr>
            </w:pPr>
          </w:p>
        </w:tc>
        <w:tc>
          <w:tcPr>
            <w:tcW w:w="1179" w:type="dxa"/>
            <w:tcBorders>
              <w:top w:val="single" w:sz="4" w:space="0" w:color="auto"/>
              <w:left w:val="single" w:sz="4" w:space="0" w:color="auto"/>
              <w:bottom w:val="single" w:sz="4" w:space="0" w:color="auto"/>
              <w:right w:val="single" w:sz="4" w:space="0" w:color="auto"/>
            </w:tcBorders>
          </w:tcPr>
          <w:p w14:paraId="42D8DC5F" w14:textId="61CA07C6" w:rsidR="004316B3" w:rsidRPr="0087494E" w:rsidRDefault="004316B3" w:rsidP="004316B3">
            <w:pPr>
              <w:widowControl/>
              <w:suppressAutoHyphens w:val="0"/>
              <w:spacing w:before="0" w:after="0" w:line="240" w:lineRule="auto"/>
              <w:contextualSpacing w:val="0"/>
              <w:rPr>
                <w:rFonts w:eastAsia="Calibri" w:cs="Arial"/>
                <w:noProof/>
                <w:color w:val="auto"/>
                <w:sz w:val="12"/>
                <w:szCs w:val="10"/>
                <w:lang w:eastAsia="en-US"/>
              </w:rPr>
            </w:pPr>
          </w:p>
        </w:tc>
        <w:tc>
          <w:tcPr>
            <w:tcW w:w="1895" w:type="dxa"/>
            <w:tcBorders>
              <w:top w:val="single" w:sz="4" w:space="0" w:color="auto"/>
              <w:left w:val="single" w:sz="4" w:space="0" w:color="auto"/>
              <w:bottom w:val="single" w:sz="4" w:space="0" w:color="auto"/>
              <w:right w:val="single" w:sz="4" w:space="0" w:color="auto"/>
            </w:tcBorders>
          </w:tcPr>
          <w:p w14:paraId="148B0E31" w14:textId="5DD5E27B" w:rsidR="004316B3" w:rsidRPr="0087494E" w:rsidRDefault="004316B3" w:rsidP="004316B3">
            <w:pPr>
              <w:widowControl/>
              <w:suppressAutoHyphens w:val="0"/>
              <w:spacing w:before="0" w:after="0" w:line="240" w:lineRule="auto"/>
              <w:contextualSpacing w:val="0"/>
              <w:rPr>
                <w:rFonts w:ascii="Roboto-Regular" w:eastAsia="Arial Regular" w:hAnsi="Roboto-Regular" w:cs="Roboto-Regular"/>
                <w:color w:val="auto"/>
                <w:sz w:val="14"/>
                <w:szCs w:val="12"/>
                <w:lang w:eastAsia="en-US"/>
              </w:rPr>
            </w:pPr>
            <w:r w:rsidRPr="00174138">
              <w:rPr>
                <w:rFonts w:eastAsia="Calibri" w:cs="Arial"/>
                <w:noProof/>
                <w:color w:val="auto"/>
                <w:sz w:val="14"/>
                <w:szCs w:val="12"/>
                <w:lang w:eastAsia="en-US"/>
              </w:rPr>
              <w:t>Procentul portofoliului de emitenți suverani unici implicați în încălcări sociale, conform metodologiei de screening negativ a Grupului Generali.</w:t>
            </w:r>
          </w:p>
        </w:tc>
        <w:tc>
          <w:tcPr>
            <w:tcW w:w="5760" w:type="dxa"/>
            <w:gridSpan w:val="2"/>
            <w:vMerge/>
            <w:tcBorders>
              <w:left w:val="single" w:sz="4" w:space="0" w:color="auto"/>
              <w:bottom w:val="single" w:sz="4" w:space="0" w:color="auto"/>
              <w:right w:val="single" w:sz="4" w:space="0" w:color="auto"/>
            </w:tcBorders>
            <w:vAlign w:val="center"/>
          </w:tcPr>
          <w:p w14:paraId="35AC33EF" w14:textId="18E8D8FE" w:rsidR="004316B3" w:rsidRPr="0087494E" w:rsidRDefault="004316B3" w:rsidP="004316B3">
            <w:pPr>
              <w:suppressAutoHyphens w:val="0"/>
              <w:spacing w:before="0" w:after="60" w:line="240" w:lineRule="auto"/>
              <w:contextualSpacing w:val="0"/>
              <w:jc w:val="both"/>
              <w:rPr>
                <w:rFonts w:cs="Arial"/>
                <w:color w:val="auto"/>
                <w:sz w:val="14"/>
                <w:szCs w:val="14"/>
              </w:rPr>
            </w:pPr>
          </w:p>
        </w:tc>
      </w:tr>
    </w:tbl>
    <w:p w14:paraId="24CE2679" w14:textId="09BE61A0" w:rsidR="009E395B" w:rsidRPr="0087494E" w:rsidRDefault="009E395B" w:rsidP="00150FDB">
      <w:pPr>
        <w:widowControl/>
        <w:suppressAutoHyphens w:val="0"/>
        <w:spacing w:before="0" w:after="120" w:line="240" w:lineRule="auto"/>
        <w:contextualSpacing w:val="0"/>
        <w:rPr>
          <w:b/>
          <w:bCs/>
        </w:rPr>
      </w:pPr>
    </w:p>
    <w:tbl>
      <w:tblPr>
        <w:tblStyle w:val="TableGrid21"/>
        <w:tblW w:w="14454" w:type="dxa"/>
        <w:tblLayout w:type="fixed"/>
        <w:tblCellMar>
          <w:left w:w="28" w:type="dxa"/>
          <w:right w:w="28" w:type="dxa"/>
        </w:tblCellMar>
        <w:tblLook w:val="04A0" w:firstRow="1" w:lastRow="0" w:firstColumn="1" w:lastColumn="0" w:noHBand="0" w:noVBand="1"/>
      </w:tblPr>
      <w:tblGrid>
        <w:gridCol w:w="846"/>
        <w:gridCol w:w="992"/>
        <w:gridCol w:w="2693"/>
        <w:gridCol w:w="1179"/>
        <w:gridCol w:w="1179"/>
        <w:gridCol w:w="1895"/>
        <w:gridCol w:w="5618"/>
        <w:gridCol w:w="52"/>
      </w:tblGrid>
      <w:tr w:rsidR="00AD595D" w:rsidRPr="00E3260F" w14:paraId="06CCDD8C" w14:textId="77777777" w:rsidTr="000025AD">
        <w:trPr>
          <w:trHeight w:val="340"/>
          <w:tblHeader/>
        </w:trPr>
        <w:tc>
          <w:tcPr>
            <w:tcW w:w="14454" w:type="dxa"/>
            <w:gridSpan w:val="8"/>
            <w:tcBorders>
              <w:top w:val="single" w:sz="4" w:space="0" w:color="auto"/>
              <w:left w:val="single" w:sz="4" w:space="0" w:color="auto"/>
              <w:bottom w:val="single" w:sz="4" w:space="0" w:color="auto"/>
              <w:right w:val="single" w:sz="4" w:space="0" w:color="auto"/>
            </w:tcBorders>
            <w:shd w:val="clear" w:color="auto" w:fill="C00000"/>
          </w:tcPr>
          <w:p w14:paraId="009C49EE" w14:textId="0314F84E" w:rsidR="00AD595D" w:rsidRPr="0087494E" w:rsidRDefault="00AD595D" w:rsidP="00150FDB">
            <w:pPr>
              <w:widowControl/>
              <w:suppressAutoHyphens w:val="0"/>
              <w:autoSpaceDN w:val="0"/>
              <w:spacing w:before="0" w:after="0" w:line="240" w:lineRule="auto"/>
              <w:contextualSpacing w:val="0"/>
              <w:jc w:val="center"/>
              <w:rPr>
                <w:b/>
                <w:bCs/>
                <w:szCs w:val="24"/>
              </w:rPr>
            </w:pPr>
            <w:r w:rsidRPr="00174138">
              <w:rPr>
                <w:b/>
                <w:bCs/>
                <w:color w:val="FFFFFF" w:themeColor="background1"/>
              </w:rPr>
              <w:t>Indicatori aplicabili investitiilor in ACTIVE IMOBILIARE</w:t>
            </w:r>
          </w:p>
        </w:tc>
      </w:tr>
      <w:tr w:rsidR="00E6328A" w:rsidRPr="00E3260F" w14:paraId="5E6CB773" w14:textId="77777777" w:rsidTr="00B22082">
        <w:trPr>
          <w:gridAfter w:val="1"/>
          <w:wAfter w:w="52" w:type="dxa"/>
          <w:trHeight w:val="340"/>
          <w:tblHeader/>
        </w:trPr>
        <w:tc>
          <w:tcPr>
            <w:tcW w:w="1838" w:type="dxa"/>
            <w:gridSpan w:val="2"/>
            <w:tcBorders>
              <w:top w:val="single" w:sz="4" w:space="0" w:color="auto"/>
              <w:left w:val="single" w:sz="4" w:space="0" w:color="auto"/>
              <w:bottom w:val="single" w:sz="4" w:space="0" w:color="auto"/>
              <w:right w:val="single" w:sz="4" w:space="0" w:color="auto"/>
            </w:tcBorders>
            <w:vAlign w:val="center"/>
          </w:tcPr>
          <w:p w14:paraId="2CEF1277" w14:textId="77777777"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Indicator de sustenabilitate negativ</w:t>
            </w:r>
          </w:p>
        </w:tc>
        <w:tc>
          <w:tcPr>
            <w:tcW w:w="2693" w:type="dxa"/>
            <w:tcBorders>
              <w:top w:val="single" w:sz="4" w:space="0" w:color="auto"/>
              <w:left w:val="single" w:sz="4" w:space="0" w:color="auto"/>
              <w:bottom w:val="single" w:sz="4" w:space="0" w:color="auto"/>
              <w:right w:val="single" w:sz="4" w:space="0" w:color="auto"/>
            </w:tcBorders>
            <w:vAlign w:val="center"/>
          </w:tcPr>
          <w:p w14:paraId="6AA42D3B" w14:textId="77777777"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Metric</w:t>
            </w:r>
          </w:p>
        </w:tc>
        <w:tc>
          <w:tcPr>
            <w:tcW w:w="1179" w:type="dxa"/>
            <w:tcBorders>
              <w:top w:val="single" w:sz="4" w:space="0" w:color="auto"/>
              <w:left w:val="single" w:sz="4" w:space="0" w:color="auto"/>
              <w:bottom w:val="single" w:sz="4" w:space="0" w:color="auto"/>
              <w:right w:val="single" w:sz="4" w:space="0" w:color="auto"/>
            </w:tcBorders>
            <w:vAlign w:val="center"/>
          </w:tcPr>
          <w:p w14:paraId="6129E427" w14:textId="6A6095B3"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4D1F49">
              <w:rPr>
                <w:rFonts w:eastAsia="Calibri" w:cs="Arial"/>
                <w:b/>
                <w:noProof/>
                <w:color w:val="auto"/>
                <w:sz w:val="16"/>
                <w:szCs w:val="16"/>
                <w:lang w:eastAsia="en-US"/>
              </w:rPr>
              <w:t>4</w:t>
            </w:r>
          </w:p>
          <w:p w14:paraId="37680DA5" w14:textId="0A8C0BAA"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 xml:space="preserve"> </w:t>
            </w:r>
          </w:p>
        </w:tc>
        <w:tc>
          <w:tcPr>
            <w:tcW w:w="1179" w:type="dxa"/>
            <w:tcBorders>
              <w:top w:val="single" w:sz="4" w:space="0" w:color="auto"/>
              <w:left w:val="single" w:sz="4" w:space="0" w:color="auto"/>
              <w:bottom w:val="single" w:sz="4" w:space="0" w:color="auto"/>
              <w:right w:val="single" w:sz="4" w:space="0" w:color="auto"/>
            </w:tcBorders>
            <w:vAlign w:val="center"/>
          </w:tcPr>
          <w:p w14:paraId="2DE04B49" w14:textId="165BDB35"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 xml:space="preserve">Impact </w:t>
            </w:r>
            <w:r w:rsidR="004D1F49">
              <w:rPr>
                <w:rFonts w:eastAsia="Calibri" w:cs="Arial"/>
                <w:b/>
                <w:noProof/>
                <w:color w:val="auto"/>
                <w:sz w:val="16"/>
                <w:szCs w:val="16"/>
                <w:lang w:eastAsia="en-US"/>
              </w:rPr>
              <w:t>2023</w:t>
            </w:r>
          </w:p>
        </w:tc>
        <w:tc>
          <w:tcPr>
            <w:tcW w:w="1895" w:type="dxa"/>
            <w:tcBorders>
              <w:top w:val="single" w:sz="4" w:space="0" w:color="auto"/>
              <w:left w:val="single" w:sz="4" w:space="0" w:color="auto"/>
              <w:bottom w:val="single" w:sz="4" w:space="0" w:color="auto"/>
              <w:right w:val="single" w:sz="4" w:space="0" w:color="auto"/>
            </w:tcBorders>
            <w:vAlign w:val="center"/>
          </w:tcPr>
          <w:p w14:paraId="10B4E8EB" w14:textId="49BBCD23"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Explicație</w:t>
            </w:r>
          </w:p>
        </w:tc>
        <w:tc>
          <w:tcPr>
            <w:tcW w:w="5618" w:type="dxa"/>
            <w:tcBorders>
              <w:top w:val="single" w:sz="4" w:space="0" w:color="auto"/>
              <w:left w:val="single" w:sz="4" w:space="0" w:color="auto"/>
              <w:bottom w:val="single" w:sz="4" w:space="0" w:color="auto"/>
              <w:right w:val="single" w:sz="4" w:space="0" w:color="auto"/>
            </w:tcBorders>
            <w:vAlign w:val="center"/>
          </w:tcPr>
          <w:p w14:paraId="07583818" w14:textId="77777777" w:rsidR="00E6328A" w:rsidRPr="0087494E" w:rsidRDefault="00E6328A"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Acțiunile întreprinse, acțiunile planificate și obiectivele stabilite pentru următoarea perioadă de referință</w:t>
            </w:r>
          </w:p>
        </w:tc>
      </w:tr>
      <w:tr w:rsidR="00E72AA9" w:rsidRPr="00E72AA9" w14:paraId="55BBB7C3" w14:textId="75C196D7" w:rsidTr="00B22082">
        <w:trPr>
          <w:gridAfter w:val="1"/>
          <w:wAfter w:w="52" w:type="dxa"/>
        </w:trPr>
        <w:tc>
          <w:tcPr>
            <w:tcW w:w="846" w:type="dxa"/>
            <w:tcBorders>
              <w:top w:val="single" w:sz="4" w:space="0" w:color="auto"/>
              <w:left w:val="single" w:sz="4" w:space="0" w:color="auto"/>
              <w:bottom w:val="single" w:sz="4" w:space="0" w:color="auto"/>
              <w:right w:val="single" w:sz="4" w:space="0" w:color="auto"/>
            </w:tcBorders>
            <w:vAlign w:val="center"/>
          </w:tcPr>
          <w:p w14:paraId="27197248" w14:textId="77777777" w:rsidR="008806B5" w:rsidRPr="00E72AA9" w:rsidRDefault="008806B5" w:rsidP="008806B5">
            <w:pPr>
              <w:widowControl/>
              <w:suppressAutoHyphens w:val="0"/>
              <w:spacing w:before="0" w:after="0" w:line="240" w:lineRule="auto"/>
              <w:contextualSpacing w:val="0"/>
              <w:rPr>
                <w:rFonts w:eastAsia="Calibri" w:cs="Arial"/>
                <w:noProof/>
                <w:color w:val="auto"/>
                <w:sz w:val="14"/>
                <w:szCs w:val="12"/>
                <w:lang w:val="en-GB" w:eastAsia="en-US"/>
              </w:rPr>
            </w:pPr>
            <w:r w:rsidRPr="00E72AA9">
              <w:rPr>
                <w:rFonts w:eastAsia="Calibri" w:cs="Arial"/>
                <w:noProof/>
                <w:color w:val="auto"/>
                <w:sz w:val="14"/>
                <w:szCs w:val="12"/>
                <w:lang w:eastAsia="en-US"/>
              </w:rPr>
              <w:t>Combustibili fosili</w:t>
            </w:r>
          </w:p>
        </w:tc>
        <w:tc>
          <w:tcPr>
            <w:tcW w:w="992" w:type="dxa"/>
            <w:tcBorders>
              <w:top w:val="single" w:sz="4" w:space="0" w:color="auto"/>
              <w:left w:val="single" w:sz="4" w:space="0" w:color="auto"/>
              <w:bottom w:val="single" w:sz="4" w:space="0" w:color="auto"/>
              <w:right w:val="single" w:sz="4" w:space="0" w:color="auto"/>
            </w:tcBorders>
            <w:vAlign w:val="center"/>
          </w:tcPr>
          <w:p w14:paraId="1641EF81" w14:textId="0B28FDB4" w:rsidR="008806B5" w:rsidRPr="00E72AA9" w:rsidRDefault="008806B5" w:rsidP="008806B5">
            <w:pPr>
              <w:widowControl/>
              <w:suppressAutoHyphens w:val="0"/>
              <w:spacing w:before="0" w:after="0" w:line="240" w:lineRule="auto"/>
              <w:contextualSpacing w:val="0"/>
              <w:rPr>
                <w:rFonts w:cs="Arial"/>
                <w:bCs/>
                <w:noProof/>
                <w:color w:val="auto"/>
                <w:sz w:val="14"/>
                <w:szCs w:val="12"/>
                <w:lang w:eastAsia="en-GB"/>
              </w:rPr>
            </w:pPr>
            <w:r w:rsidRPr="00E72AA9">
              <w:rPr>
                <w:rFonts w:cs="Arial"/>
                <w:bCs/>
                <w:noProof/>
                <w:color w:val="auto"/>
                <w:sz w:val="14"/>
                <w:szCs w:val="12"/>
                <w:lang w:eastAsia="en-GB"/>
              </w:rPr>
              <w:t>17.Expunerea la combustibili fosili prin intermediul activelor imobiliare</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7A8DD5F1" w14:textId="77777777" w:rsidR="008806B5" w:rsidRPr="00E72AA9" w:rsidRDefault="008806B5" w:rsidP="008806B5">
            <w:pPr>
              <w:widowControl/>
              <w:suppressAutoHyphens w:val="0"/>
              <w:spacing w:before="0" w:after="0" w:line="240" w:lineRule="auto"/>
              <w:contextualSpacing w:val="0"/>
              <w:rPr>
                <w:rFonts w:eastAsia="Calibri" w:cs="Arial"/>
                <w:noProof/>
                <w:color w:val="auto"/>
                <w:sz w:val="14"/>
                <w:szCs w:val="12"/>
                <w:lang w:val="en-GB" w:eastAsia="en-US"/>
              </w:rPr>
            </w:pPr>
            <w:r w:rsidRPr="00E72AA9">
              <w:rPr>
                <w:rFonts w:eastAsia="Calibri" w:cs="Arial"/>
                <w:noProof/>
                <w:color w:val="auto"/>
                <w:sz w:val="14"/>
                <w:szCs w:val="12"/>
                <w:lang w:eastAsia="en-US"/>
              </w:rPr>
              <w:t>Ponderea investițiilor în active imobiliare implicate în extracția, depozitarea, transportul sau fabricarea combustibililor fosili</w:t>
            </w:r>
          </w:p>
        </w:tc>
        <w:tc>
          <w:tcPr>
            <w:tcW w:w="1179" w:type="dxa"/>
            <w:tcBorders>
              <w:top w:val="single" w:sz="4" w:space="0" w:color="auto"/>
              <w:left w:val="single" w:sz="4" w:space="0" w:color="auto"/>
              <w:bottom w:val="single" w:sz="4" w:space="0" w:color="auto"/>
              <w:right w:val="single" w:sz="4" w:space="0" w:color="auto"/>
            </w:tcBorders>
          </w:tcPr>
          <w:p w14:paraId="2E557397" w14:textId="01D474EA" w:rsidR="008806B5" w:rsidRPr="00E72AA9" w:rsidRDefault="008806B5" w:rsidP="008806B5">
            <w:pPr>
              <w:widowControl/>
              <w:suppressAutoHyphens w:val="0"/>
              <w:spacing w:before="0" w:after="0" w:line="240" w:lineRule="auto"/>
              <w:contextualSpacing w:val="0"/>
              <w:rPr>
                <w:rFonts w:eastAsia="Calibri" w:cs="Arial"/>
                <w:noProof/>
                <w:color w:val="auto"/>
                <w:sz w:val="12"/>
                <w:szCs w:val="10"/>
                <w:lang w:val="en-GB" w:eastAsia="en-US"/>
              </w:rPr>
            </w:pPr>
          </w:p>
        </w:tc>
        <w:tc>
          <w:tcPr>
            <w:tcW w:w="1179" w:type="dxa"/>
            <w:tcBorders>
              <w:top w:val="single" w:sz="4" w:space="0" w:color="auto"/>
              <w:left w:val="single" w:sz="4" w:space="0" w:color="auto"/>
              <w:bottom w:val="single" w:sz="4" w:space="0" w:color="auto"/>
              <w:right w:val="single" w:sz="4" w:space="0" w:color="auto"/>
            </w:tcBorders>
          </w:tcPr>
          <w:p w14:paraId="1F403735" w14:textId="760A3D09" w:rsidR="008806B5" w:rsidRPr="00E72AA9" w:rsidRDefault="008806B5" w:rsidP="008806B5">
            <w:pPr>
              <w:widowControl/>
              <w:suppressAutoHyphens w:val="0"/>
              <w:spacing w:before="0" w:after="0" w:line="240" w:lineRule="auto"/>
              <w:contextualSpacing w:val="0"/>
              <w:jc w:val="both"/>
              <w:rPr>
                <w:rFonts w:eastAsia="Calibri" w:cs="Arial"/>
                <w:noProof/>
                <w:color w:val="auto"/>
                <w:sz w:val="12"/>
                <w:szCs w:val="10"/>
                <w:lang w:val="en-GB" w:eastAsia="en-US"/>
              </w:rPr>
            </w:pPr>
          </w:p>
        </w:tc>
        <w:tc>
          <w:tcPr>
            <w:tcW w:w="1895" w:type="dxa"/>
            <w:tcBorders>
              <w:top w:val="single" w:sz="4" w:space="0" w:color="auto"/>
              <w:left w:val="single" w:sz="4" w:space="0" w:color="auto"/>
              <w:bottom w:val="single" w:sz="4" w:space="0" w:color="auto"/>
              <w:right w:val="single" w:sz="4" w:space="0" w:color="auto"/>
            </w:tcBorders>
          </w:tcPr>
          <w:p w14:paraId="7D92AD70" w14:textId="3CE6BD3C" w:rsidR="008806B5" w:rsidRPr="00E72AA9" w:rsidRDefault="00C71A4A" w:rsidP="008806B5">
            <w:pPr>
              <w:widowControl/>
              <w:suppressAutoHyphens w:val="0"/>
              <w:spacing w:before="0" w:after="0" w:line="240" w:lineRule="auto"/>
              <w:contextualSpacing w:val="0"/>
              <w:rPr>
                <w:rFonts w:eastAsia="Calibri" w:cs="Arial"/>
                <w:noProof/>
                <w:color w:val="auto"/>
                <w:sz w:val="14"/>
                <w:szCs w:val="14"/>
                <w:lang w:eastAsia="en-US"/>
              </w:rPr>
            </w:pPr>
            <w:r w:rsidRPr="00E72AA9">
              <w:rPr>
                <w:rFonts w:eastAsia="Calibri" w:cs="Arial"/>
                <w:noProof/>
                <w:color w:val="auto"/>
                <w:sz w:val="14"/>
                <w:szCs w:val="14"/>
                <w:lang w:eastAsia="en-US"/>
              </w:rPr>
              <w:t>Ponderea investițiilor exprimată în valoare de piață.</w:t>
            </w:r>
          </w:p>
        </w:tc>
        <w:tc>
          <w:tcPr>
            <w:tcW w:w="5618" w:type="dxa"/>
            <w:vMerge w:val="restart"/>
            <w:tcBorders>
              <w:top w:val="single" w:sz="4" w:space="0" w:color="auto"/>
              <w:left w:val="single" w:sz="4" w:space="0" w:color="auto"/>
              <w:right w:val="single" w:sz="4" w:space="0" w:color="auto"/>
            </w:tcBorders>
          </w:tcPr>
          <w:p w14:paraId="04048723" w14:textId="151A29B5" w:rsidR="004A3A7B" w:rsidRPr="00E72AA9" w:rsidRDefault="008806B5" w:rsidP="004A3A7B">
            <w:pPr>
              <w:suppressAutoHyphens w:val="0"/>
              <w:spacing w:before="0" w:after="0" w:line="240" w:lineRule="auto"/>
              <w:contextualSpacing w:val="0"/>
              <w:jc w:val="both"/>
              <w:rPr>
                <w:color w:val="auto"/>
              </w:rPr>
            </w:pPr>
            <w:r w:rsidRPr="00E72AA9">
              <w:rPr>
                <w:color w:val="auto"/>
                <w:sz w:val="14"/>
                <w:szCs w:val="14"/>
              </w:rPr>
              <w:t>Generali s-a angajat să implementeze strategii ESG în investițiile imobiliare și și-a stabilit obiectivul de a atinge zero emisii nete în portofoliul de investiții al Grupului până în 2050, inclusiv în investițiile imobiliare. În plus, am stabilit la nivel de Grup obiective intermediare de decarbonizare pentru YE24: alinierea a cel puțin 30% din valoarea portofoliului imobiliar cu traiectoria încălzirii globale de 1,5 °C, conform modelului CRREM (Carbon Risk Real Estate Monitor).</w:t>
            </w:r>
            <w:r w:rsidR="004A3A7B" w:rsidRPr="00E72AA9">
              <w:rPr>
                <w:color w:val="auto"/>
                <w:sz w:val="14"/>
                <w:szCs w:val="14"/>
              </w:rPr>
              <w:t xml:space="preserve"> Obiectivul a fost atinsla nivel de grup la YE24.. </w:t>
            </w:r>
          </w:p>
          <w:p w14:paraId="4ACB3ABF" w14:textId="2E518383" w:rsidR="008806B5" w:rsidRPr="00E72AA9" w:rsidRDefault="004A3A7B" w:rsidP="008806B5">
            <w:pPr>
              <w:suppressAutoHyphens w:val="0"/>
              <w:spacing w:before="0" w:after="0" w:line="240" w:lineRule="auto"/>
              <w:contextualSpacing w:val="0"/>
              <w:jc w:val="both"/>
              <w:rPr>
                <w:color w:val="auto"/>
                <w:sz w:val="14"/>
                <w:szCs w:val="14"/>
              </w:rPr>
            </w:pPr>
            <w:r w:rsidRPr="00E72AA9">
              <w:rPr>
                <w:color w:val="auto"/>
                <w:sz w:val="14"/>
                <w:szCs w:val="14"/>
              </w:rPr>
              <w:t xml:space="preserve">În paralel, am dezvoltat </w:t>
            </w:r>
            <w:r w:rsidR="00472307" w:rsidRPr="00E72AA9">
              <w:rPr>
                <w:color w:val="auto"/>
                <w:sz w:val="14"/>
                <w:szCs w:val="14"/>
              </w:rPr>
              <w:t xml:space="preserve">o </w:t>
            </w:r>
            <w:r w:rsidRPr="00E72AA9">
              <w:rPr>
                <w:color w:val="auto"/>
                <w:sz w:val="14"/>
                <w:szCs w:val="14"/>
              </w:rPr>
              <w:t>nouă metodologie de aliniere a portofoliului la obiectivele NZAOA, definind o nouă țintă pentru YE2029:</w:t>
            </w:r>
            <w:r w:rsidRPr="00E72AA9">
              <w:rPr>
                <w:i/>
                <w:iCs/>
                <w:color w:val="auto"/>
                <w:sz w:val="14"/>
                <w:szCs w:val="14"/>
              </w:rPr>
              <w:t xml:space="preserve"> reducerea intensității carbonului de -60% față de 2019</w:t>
            </w:r>
            <w:r w:rsidRPr="00E72AA9">
              <w:rPr>
                <w:color w:val="auto"/>
                <w:sz w:val="14"/>
                <w:szCs w:val="14"/>
              </w:rPr>
              <w:t>.</w:t>
            </w:r>
            <w:r w:rsidR="004C5833" w:rsidRPr="00E72AA9">
              <w:rPr>
                <w:color w:val="auto"/>
                <w:sz w:val="14"/>
                <w:szCs w:val="14"/>
              </w:rPr>
              <w:t xml:space="preserve"> Pentru mai multe detalii despre noua țintă de grup, </w:t>
            </w:r>
            <w:r w:rsidR="001B0E4C" w:rsidRPr="00E72AA9">
              <w:rPr>
                <w:color w:val="auto"/>
                <w:sz w:val="14"/>
                <w:szCs w:val="14"/>
              </w:rPr>
              <w:t xml:space="preserve">consultați </w:t>
            </w:r>
            <w:r w:rsidR="001B0E4C" w:rsidRPr="00E72AA9">
              <w:rPr>
                <w:rFonts w:eastAsia="Calibri" w:cs="Arial"/>
                <w:color w:val="auto"/>
                <w:sz w:val="14"/>
                <w:szCs w:val="14"/>
              </w:rPr>
              <w:t>https://www.generali.com/sustainability/our-commitment-to-the-environment-and-climate.</w:t>
            </w:r>
            <w:r w:rsidR="008806B5" w:rsidRPr="00E72AA9">
              <w:rPr>
                <w:color w:val="auto"/>
                <w:sz w:val="14"/>
                <w:szCs w:val="14"/>
              </w:rPr>
              <w:t>Prin Generali Real Estate, managerul specializat în active imobiliare al Grupului, Generali implementează un cadru specific și acțiuni pentru a gestiona principalele efecte negative, inclusiv due diligence de sustenabilitate pentru achiziții</w:t>
            </w:r>
            <w:r w:rsidR="00203C21" w:rsidRPr="00E72AA9">
              <w:rPr>
                <w:color w:val="auto"/>
                <w:sz w:val="14"/>
                <w:szCs w:val="14"/>
              </w:rPr>
              <w:t xml:space="preserve"> și eliminarea</w:t>
            </w:r>
            <w:r w:rsidR="008806B5" w:rsidRPr="00E72AA9">
              <w:rPr>
                <w:color w:val="auto"/>
                <w:sz w:val="14"/>
                <w:szCs w:val="14"/>
              </w:rPr>
              <w:t>, soluții de analiză a datelor pentru colectarea datelor de sustenabilitate ale clădirilor</w:t>
            </w:r>
            <w:r w:rsidR="009D74CA" w:rsidRPr="00E72AA9">
              <w:rPr>
                <w:color w:val="auto"/>
                <w:sz w:val="14"/>
                <w:szCs w:val="14"/>
              </w:rPr>
              <w:t>,</w:t>
            </w:r>
            <w:r w:rsidR="002E41E0" w:rsidRPr="00E72AA9">
              <w:rPr>
                <w:color w:val="auto"/>
                <w:sz w:val="14"/>
                <w:szCs w:val="14"/>
              </w:rPr>
              <w:t xml:space="preserve"> angajament</w:t>
            </w:r>
            <w:r w:rsidR="00E72AA9" w:rsidRPr="00E72AA9">
              <w:rPr>
                <w:color w:val="auto"/>
                <w:sz w:val="14"/>
                <w:szCs w:val="14"/>
              </w:rPr>
              <w:t xml:space="preserve">ul </w:t>
            </w:r>
            <w:r w:rsidR="008806B5" w:rsidRPr="00E72AA9">
              <w:rPr>
                <w:color w:val="auto"/>
                <w:sz w:val="14"/>
                <w:szCs w:val="14"/>
              </w:rPr>
              <w:lastRenderedPageBreak/>
              <w:t>chiriașilor și prin propunerea de contracte de închiriere ecologice</w:t>
            </w:r>
            <w:r w:rsidR="00EF31B9" w:rsidRPr="00E72AA9">
              <w:rPr>
                <w:color w:val="auto"/>
                <w:sz w:val="14"/>
                <w:szCs w:val="14"/>
              </w:rPr>
              <w:t xml:space="preserve"> și angajamentul pentru contractul de energie electrică verde</w:t>
            </w:r>
            <w:r w:rsidR="008806B5" w:rsidRPr="00E72AA9">
              <w:rPr>
                <w:color w:val="auto"/>
                <w:sz w:val="14"/>
                <w:szCs w:val="14"/>
              </w:rPr>
              <w:t>. Pentru mai multe informații privind metodologiile și acțiunile, a se vedea (</w:t>
            </w:r>
            <w:r w:rsidR="008806B5" w:rsidRPr="00E72AA9">
              <w:rPr>
                <w:color w:val="auto"/>
              </w:rPr>
              <w:fldChar w:fldCharType="begin"/>
            </w:r>
            <w:r w:rsidR="008806B5" w:rsidRPr="00E72AA9">
              <w:rPr>
                <w:color w:val="auto"/>
              </w:rPr>
              <w:instrText>HYPERLINK "https://www.generalirealestate.com/regulatory/"</w:instrText>
            </w:r>
            <w:r w:rsidR="008806B5" w:rsidRPr="00E72AA9">
              <w:rPr>
                <w:color w:val="auto"/>
              </w:rPr>
            </w:r>
            <w:r w:rsidR="008806B5" w:rsidRPr="00E72AA9">
              <w:rPr>
                <w:color w:val="auto"/>
              </w:rPr>
              <w:fldChar w:fldCharType="separate"/>
            </w:r>
            <w:r w:rsidR="008806B5" w:rsidRPr="00E72AA9">
              <w:rPr>
                <w:color w:val="auto"/>
                <w:sz w:val="14"/>
                <w:szCs w:val="14"/>
              </w:rPr>
              <w:t>https://www.generalirealestate.com/regulatory/</w:t>
            </w:r>
            <w:r w:rsidR="008806B5" w:rsidRPr="00E72AA9">
              <w:rPr>
                <w:color w:val="auto"/>
              </w:rPr>
              <w:fldChar w:fldCharType="end"/>
            </w:r>
            <w:r w:rsidR="008806B5" w:rsidRPr="00E72AA9">
              <w:rPr>
                <w:color w:val="auto"/>
                <w:sz w:val="14"/>
                <w:szCs w:val="14"/>
              </w:rPr>
              <w:t xml:space="preserve">). </w:t>
            </w:r>
          </w:p>
          <w:p w14:paraId="71998DEC" w14:textId="7E642E86" w:rsidR="008806B5" w:rsidRPr="00E72AA9" w:rsidRDefault="008806B5" w:rsidP="008806B5">
            <w:pPr>
              <w:suppressAutoHyphens w:val="0"/>
              <w:spacing w:before="0" w:after="0" w:line="240" w:lineRule="auto"/>
              <w:contextualSpacing w:val="0"/>
              <w:jc w:val="both"/>
              <w:rPr>
                <w:color w:val="auto"/>
                <w:sz w:val="14"/>
                <w:szCs w:val="14"/>
              </w:rPr>
            </w:pPr>
            <w:r w:rsidRPr="00E72AA9">
              <w:rPr>
                <w:color w:val="auto"/>
                <w:sz w:val="14"/>
                <w:szCs w:val="14"/>
              </w:rPr>
              <w:t>În ceea ce privește PAI 17: portofoliul Generali Real Estate este investit în mare parte în clădiri comerciale/rezidențiale, astfel încât expunerea la clădirile implicate în combustibili fosili este implicit minimă. În orice caz, due diligence de sustenabilitate menționată mai sus efectuată asupra tuturor investițiilor asigură că orice expunere potențială este luată în considerare în decizia de investiție.</w:t>
            </w:r>
          </w:p>
          <w:p w14:paraId="7F14A2EF" w14:textId="20D28713" w:rsidR="008806B5" w:rsidRPr="00E72AA9" w:rsidRDefault="008806B5" w:rsidP="00744277">
            <w:pPr>
              <w:suppressAutoHyphens w:val="0"/>
              <w:spacing w:before="0" w:after="0" w:line="240" w:lineRule="auto"/>
              <w:contextualSpacing w:val="0"/>
              <w:jc w:val="both"/>
              <w:rPr>
                <w:color w:val="auto"/>
                <w:sz w:val="14"/>
                <w:szCs w:val="14"/>
              </w:rPr>
            </w:pPr>
            <w:r w:rsidRPr="00E72AA9">
              <w:rPr>
                <w:color w:val="auto"/>
                <w:sz w:val="14"/>
                <w:szCs w:val="14"/>
              </w:rPr>
              <w:t xml:space="preserve">În ceea ce privește PAI 18: obiectivul menționat mai sus de a alinia portofoliul de active imobiliare către traiectoria de 1,5°C este un plan ambițios pe termen lung care necesită înțelegerea particularităților fiecărei clădiri pentru a defini un plan de implementare dedicat. În acest scop, din 2022 a fost definit un plan de îmbunătățire pentru proprietățile individuale, cu scopul de a alinia aceste proprietăți la obiectivul de decarbonizare stabilit pentru 2050 și la ambițiile de sustenabilitate ale Grupului. În prezent, un astfel de plan se referă la o parte majoră a portofoliului imobiliar la nivel de Grup și va avea ca rezultat o serie de recomandări, atât pe Capex, cât și pe Opex, pe termen scurt (2025), pe termen mediu (2030) și pe termen lung (2050). </w:t>
            </w:r>
            <w:r w:rsidR="00C4006E" w:rsidRPr="00E72AA9">
              <w:rPr>
                <w:color w:val="auto"/>
                <w:sz w:val="14"/>
                <w:szCs w:val="14"/>
              </w:rPr>
              <w:t>Acțiunile propuse vizează reducerea emisiilor și îmbunătățirea eficienței energetice; acestea pot varia de la: renovări (ușoare sau grele), modernizarea sistemelor, accelerarea electrificării CapEx, implicarea ajustărilor operaționale (sistem de management al energiei, BMS etc.), modificări ale mixului energetic și a</w:t>
            </w:r>
            <w:r w:rsidR="00C65B67">
              <w:rPr>
                <w:color w:val="auto"/>
                <w:sz w:val="14"/>
                <w:szCs w:val="14"/>
              </w:rPr>
              <w:t>ngajamentul</w:t>
            </w:r>
            <w:r w:rsidR="00C4006E" w:rsidRPr="00E72AA9">
              <w:rPr>
                <w:color w:val="auto"/>
                <w:sz w:val="14"/>
                <w:szCs w:val="14"/>
              </w:rPr>
              <w:t xml:space="preserve"> chiriașilor.</w:t>
            </w:r>
          </w:p>
        </w:tc>
      </w:tr>
      <w:tr w:rsidR="00E72AA9" w:rsidRPr="00E72AA9" w14:paraId="51576744" w14:textId="77777777" w:rsidTr="00B22082">
        <w:trPr>
          <w:gridAfter w:val="1"/>
          <w:wAfter w:w="52" w:type="dxa"/>
          <w:trHeight w:val="414"/>
        </w:trPr>
        <w:tc>
          <w:tcPr>
            <w:tcW w:w="846" w:type="dxa"/>
            <w:tcBorders>
              <w:top w:val="single" w:sz="4" w:space="0" w:color="auto"/>
              <w:left w:val="single" w:sz="4" w:space="0" w:color="auto"/>
              <w:bottom w:val="single" w:sz="4" w:space="0" w:color="auto"/>
              <w:right w:val="single" w:sz="4" w:space="0" w:color="auto"/>
            </w:tcBorders>
            <w:vAlign w:val="center"/>
          </w:tcPr>
          <w:p w14:paraId="1D85A74F" w14:textId="77777777" w:rsidR="008806B5" w:rsidRPr="00E72AA9" w:rsidRDefault="008806B5" w:rsidP="008806B5">
            <w:pPr>
              <w:widowControl/>
              <w:suppressAutoHyphens w:val="0"/>
              <w:spacing w:before="0" w:after="0" w:line="240" w:lineRule="auto"/>
              <w:contextualSpacing w:val="0"/>
              <w:rPr>
                <w:rFonts w:eastAsia="Calibri" w:cs="Arial"/>
                <w:noProof/>
                <w:color w:val="auto"/>
                <w:sz w:val="14"/>
                <w:szCs w:val="12"/>
                <w:lang w:val="en-GB" w:eastAsia="en-US"/>
              </w:rPr>
            </w:pPr>
            <w:r w:rsidRPr="00E72AA9">
              <w:rPr>
                <w:rFonts w:eastAsia="Calibri" w:cs="Arial"/>
                <w:noProof/>
                <w:color w:val="auto"/>
                <w:sz w:val="14"/>
                <w:szCs w:val="12"/>
                <w:lang w:eastAsia="en-US"/>
              </w:rPr>
              <w:t>Eficiență energetică</w:t>
            </w:r>
          </w:p>
        </w:tc>
        <w:tc>
          <w:tcPr>
            <w:tcW w:w="992" w:type="dxa"/>
            <w:tcBorders>
              <w:top w:val="single" w:sz="4" w:space="0" w:color="auto"/>
              <w:left w:val="single" w:sz="4" w:space="0" w:color="auto"/>
              <w:bottom w:val="single" w:sz="4" w:space="0" w:color="auto"/>
              <w:right w:val="single" w:sz="4" w:space="0" w:color="auto"/>
            </w:tcBorders>
            <w:vAlign w:val="center"/>
          </w:tcPr>
          <w:p w14:paraId="0A2DB71A" w14:textId="4DA3B1BA" w:rsidR="008806B5" w:rsidRPr="00E72AA9" w:rsidRDefault="008806B5" w:rsidP="008806B5">
            <w:pPr>
              <w:widowControl/>
              <w:suppressAutoHyphens w:val="0"/>
              <w:spacing w:before="0" w:after="0" w:line="240" w:lineRule="auto"/>
              <w:contextualSpacing w:val="0"/>
              <w:rPr>
                <w:rFonts w:cs="Arial"/>
                <w:noProof/>
                <w:color w:val="auto"/>
                <w:sz w:val="14"/>
                <w:szCs w:val="12"/>
                <w:lang w:eastAsia="en-GB"/>
              </w:rPr>
            </w:pPr>
            <w:r w:rsidRPr="00E72AA9">
              <w:rPr>
                <w:rFonts w:cs="Arial"/>
                <w:noProof/>
                <w:color w:val="auto"/>
                <w:sz w:val="14"/>
                <w:szCs w:val="12"/>
                <w:lang w:eastAsia="en-GB"/>
              </w:rPr>
              <w:t>18.Expunerea la active imobiliare ineficiente din punct de vedere energetic</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2DFDB3F3" w14:textId="2795D57D" w:rsidR="008806B5" w:rsidRPr="00E72AA9" w:rsidRDefault="008806B5" w:rsidP="008806B5">
            <w:pPr>
              <w:widowControl/>
              <w:suppressAutoHyphens w:val="0"/>
              <w:spacing w:before="0" w:after="0" w:line="240" w:lineRule="auto"/>
              <w:contextualSpacing w:val="0"/>
              <w:rPr>
                <w:rFonts w:eastAsia="Calibri" w:cs="Arial"/>
                <w:noProof/>
                <w:color w:val="auto"/>
                <w:sz w:val="14"/>
                <w:szCs w:val="12"/>
                <w:lang w:val="en-GB" w:eastAsia="en-US"/>
              </w:rPr>
            </w:pPr>
            <w:r w:rsidRPr="00E72AA9">
              <w:rPr>
                <w:rFonts w:eastAsia="Calibri" w:cs="Arial"/>
                <w:noProof/>
                <w:color w:val="auto"/>
                <w:sz w:val="14"/>
                <w:szCs w:val="12"/>
                <w:lang w:eastAsia="en-US"/>
              </w:rPr>
              <w:t>Ponderea investițiilor în active imobiliare ineficiente din punct de vedere energetic</w:t>
            </w:r>
          </w:p>
        </w:tc>
        <w:tc>
          <w:tcPr>
            <w:tcW w:w="1179" w:type="dxa"/>
            <w:tcBorders>
              <w:top w:val="single" w:sz="4" w:space="0" w:color="auto"/>
              <w:left w:val="single" w:sz="4" w:space="0" w:color="auto"/>
              <w:bottom w:val="single" w:sz="4" w:space="0" w:color="auto"/>
              <w:right w:val="single" w:sz="4" w:space="0" w:color="auto"/>
            </w:tcBorders>
          </w:tcPr>
          <w:p w14:paraId="78ED4917" w14:textId="0918BBD8" w:rsidR="008806B5" w:rsidRPr="00E72AA9" w:rsidRDefault="008806B5" w:rsidP="008806B5">
            <w:pPr>
              <w:widowControl/>
              <w:suppressAutoHyphens w:val="0"/>
              <w:spacing w:before="0" w:after="0" w:line="240" w:lineRule="auto"/>
              <w:contextualSpacing w:val="0"/>
              <w:rPr>
                <w:rFonts w:eastAsia="Calibri" w:cs="Arial"/>
                <w:noProof/>
                <w:color w:val="auto"/>
                <w:sz w:val="12"/>
                <w:szCs w:val="10"/>
                <w:lang w:val="en-GB" w:eastAsia="en-US"/>
              </w:rPr>
            </w:pPr>
          </w:p>
        </w:tc>
        <w:tc>
          <w:tcPr>
            <w:tcW w:w="1179" w:type="dxa"/>
            <w:tcBorders>
              <w:top w:val="single" w:sz="4" w:space="0" w:color="auto"/>
              <w:left w:val="single" w:sz="4" w:space="0" w:color="auto"/>
              <w:bottom w:val="single" w:sz="4" w:space="0" w:color="auto"/>
              <w:right w:val="single" w:sz="4" w:space="0" w:color="auto"/>
            </w:tcBorders>
          </w:tcPr>
          <w:p w14:paraId="4219F310" w14:textId="3817EE2B" w:rsidR="008806B5" w:rsidRPr="00E72AA9" w:rsidRDefault="008806B5" w:rsidP="008806B5">
            <w:pPr>
              <w:widowControl/>
              <w:suppressAutoHyphens w:val="0"/>
              <w:spacing w:before="0" w:after="0" w:line="240" w:lineRule="auto"/>
              <w:contextualSpacing w:val="0"/>
              <w:jc w:val="both"/>
              <w:rPr>
                <w:rFonts w:eastAsia="Calibri" w:cs="Arial"/>
                <w:noProof/>
                <w:color w:val="auto"/>
                <w:sz w:val="12"/>
                <w:szCs w:val="10"/>
                <w:lang w:val="en-GB" w:eastAsia="en-US"/>
              </w:rPr>
            </w:pPr>
          </w:p>
        </w:tc>
        <w:tc>
          <w:tcPr>
            <w:tcW w:w="1895" w:type="dxa"/>
            <w:tcBorders>
              <w:top w:val="single" w:sz="4" w:space="0" w:color="auto"/>
              <w:left w:val="single" w:sz="4" w:space="0" w:color="auto"/>
              <w:bottom w:val="single" w:sz="4" w:space="0" w:color="auto"/>
              <w:right w:val="single" w:sz="4" w:space="0" w:color="auto"/>
            </w:tcBorders>
          </w:tcPr>
          <w:p w14:paraId="7B12B1B0" w14:textId="3ACED23E" w:rsidR="008806B5" w:rsidRPr="00E72AA9" w:rsidRDefault="00C71A4A" w:rsidP="008806B5">
            <w:pPr>
              <w:widowControl/>
              <w:suppressAutoHyphens w:val="0"/>
              <w:spacing w:before="0" w:after="0" w:line="240" w:lineRule="auto"/>
              <w:contextualSpacing w:val="0"/>
              <w:rPr>
                <w:rFonts w:eastAsia="Calibri" w:cs="Arial"/>
                <w:noProof/>
                <w:color w:val="auto"/>
                <w:sz w:val="12"/>
                <w:szCs w:val="10"/>
                <w:lang w:eastAsia="en-US"/>
              </w:rPr>
            </w:pPr>
            <w:r w:rsidRPr="00E72AA9">
              <w:rPr>
                <w:rFonts w:eastAsia="Calibri" w:cs="Arial"/>
                <w:noProof/>
                <w:color w:val="auto"/>
                <w:sz w:val="14"/>
                <w:szCs w:val="14"/>
                <w:lang w:eastAsia="en-US"/>
              </w:rPr>
              <w:t>Ponderea investițiilor exprimată în valoare de piață.</w:t>
            </w:r>
          </w:p>
        </w:tc>
        <w:tc>
          <w:tcPr>
            <w:tcW w:w="5618" w:type="dxa"/>
            <w:vMerge/>
            <w:tcBorders>
              <w:left w:val="single" w:sz="4" w:space="0" w:color="auto"/>
              <w:bottom w:val="single" w:sz="4" w:space="0" w:color="auto"/>
              <w:right w:val="single" w:sz="4" w:space="0" w:color="auto"/>
            </w:tcBorders>
          </w:tcPr>
          <w:p w14:paraId="0E2F8D96" w14:textId="4E95E530" w:rsidR="008806B5" w:rsidRPr="00E72AA9" w:rsidRDefault="008806B5" w:rsidP="008806B5">
            <w:pPr>
              <w:widowControl/>
              <w:suppressAutoHyphens w:val="0"/>
              <w:spacing w:before="0" w:after="0" w:line="240" w:lineRule="auto"/>
              <w:contextualSpacing w:val="0"/>
              <w:jc w:val="both"/>
              <w:rPr>
                <w:rFonts w:eastAsia="Calibri" w:cs="Arial"/>
                <w:noProof/>
                <w:color w:val="auto"/>
                <w:sz w:val="12"/>
                <w:szCs w:val="10"/>
                <w:lang w:eastAsia="en-US"/>
              </w:rPr>
            </w:pPr>
          </w:p>
        </w:tc>
      </w:tr>
    </w:tbl>
    <w:p w14:paraId="227D1713" w14:textId="77777777" w:rsidR="009C675A" w:rsidRPr="00E72AA9" w:rsidRDefault="009C675A" w:rsidP="00150FDB">
      <w:pPr>
        <w:widowControl/>
        <w:suppressAutoHyphens w:val="0"/>
        <w:spacing w:before="0" w:after="0" w:line="240" w:lineRule="auto"/>
        <w:contextualSpacing w:val="0"/>
        <w:rPr>
          <w:color w:val="auto"/>
        </w:rPr>
      </w:pPr>
    </w:p>
    <w:p w14:paraId="59393DB0" w14:textId="3D4A6CF4" w:rsidR="009C675A" w:rsidRPr="0087494E" w:rsidRDefault="00C64208" w:rsidP="00150FDB">
      <w:pPr>
        <w:widowControl/>
        <w:suppressAutoHyphens w:val="0"/>
        <w:spacing w:before="0" w:after="0" w:line="240" w:lineRule="auto"/>
        <w:contextualSpacing w:val="0"/>
        <w:jc w:val="center"/>
        <w:rPr>
          <w:rFonts w:ascii="Times New Roman" w:eastAsia="Calibri" w:hAnsi="Times New Roman"/>
          <w:i/>
          <w:iCs/>
          <w:noProof/>
          <w:color w:val="auto"/>
          <w:sz w:val="24"/>
          <w:szCs w:val="22"/>
          <w:lang w:eastAsia="en-US"/>
        </w:rPr>
      </w:pPr>
      <w:r w:rsidRPr="00174138">
        <w:rPr>
          <w:rFonts w:ascii="Times New Roman" w:eastAsia="Calibri" w:hAnsi="Times New Roman"/>
          <w:i/>
          <w:iCs/>
          <w:noProof/>
          <w:color w:val="auto"/>
          <w:sz w:val="24"/>
          <w:szCs w:val="22"/>
          <w:lang w:eastAsia="en-US"/>
        </w:rPr>
        <w:t>Tabelul 2 – Indicatori suplimentari legați de climă și alți indicatori de mediu</w:t>
      </w:r>
    </w:p>
    <w:p w14:paraId="212FF78F" w14:textId="77777777" w:rsidR="009C675A" w:rsidRPr="0087494E" w:rsidRDefault="009C675A" w:rsidP="00150FDB">
      <w:pPr>
        <w:widowControl/>
        <w:suppressAutoHyphens w:val="0"/>
        <w:spacing w:before="0" w:after="0" w:line="240" w:lineRule="auto"/>
        <w:contextualSpacing w:val="0"/>
      </w:pPr>
    </w:p>
    <w:tbl>
      <w:tblPr>
        <w:tblStyle w:val="TableGrid21"/>
        <w:tblW w:w="14454" w:type="dxa"/>
        <w:tblLayout w:type="fixed"/>
        <w:tblCellMar>
          <w:left w:w="28" w:type="dxa"/>
          <w:right w:w="28" w:type="dxa"/>
        </w:tblCellMar>
        <w:tblLook w:val="04A0" w:firstRow="1" w:lastRow="0" w:firstColumn="1" w:lastColumn="0" w:noHBand="0" w:noVBand="1"/>
      </w:tblPr>
      <w:tblGrid>
        <w:gridCol w:w="846"/>
        <w:gridCol w:w="992"/>
        <w:gridCol w:w="2693"/>
        <w:gridCol w:w="1179"/>
        <w:gridCol w:w="1179"/>
        <w:gridCol w:w="2320"/>
        <w:gridCol w:w="5193"/>
        <w:gridCol w:w="52"/>
      </w:tblGrid>
      <w:tr w:rsidR="009E6A5B" w:rsidRPr="00E3260F" w14:paraId="01C2319C" w14:textId="77777777" w:rsidTr="00B22082">
        <w:trPr>
          <w:trHeight w:val="340"/>
          <w:tblHeader/>
        </w:trPr>
        <w:tc>
          <w:tcPr>
            <w:tcW w:w="14454" w:type="dxa"/>
            <w:gridSpan w:val="8"/>
            <w:tcBorders>
              <w:top w:val="single" w:sz="4" w:space="0" w:color="auto"/>
              <w:left w:val="single" w:sz="4" w:space="0" w:color="auto"/>
              <w:bottom w:val="single" w:sz="4" w:space="0" w:color="auto"/>
              <w:right w:val="single" w:sz="4" w:space="0" w:color="auto"/>
            </w:tcBorders>
            <w:shd w:val="clear" w:color="auto" w:fill="C00000"/>
          </w:tcPr>
          <w:p w14:paraId="426D9A38" w14:textId="1F5970CD" w:rsidR="009E6A5B" w:rsidRPr="0087494E" w:rsidRDefault="009E6A5B"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b/>
                <w:color w:val="FFFFFF" w:themeColor="background1"/>
                <w:szCs w:val="24"/>
              </w:rPr>
              <w:t>Indicatori aplicabili investițiilor în societăți în care s-a investit</w:t>
            </w:r>
          </w:p>
        </w:tc>
      </w:tr>
      <w:tr w:rsidR="009E6A5B" w:rsidRPr="00E3260F" w14:paraId="40DC7693" w14:textId="77777777" w:rsidTr="00B22082">
        <w:trPr>
          <w:trHeight w:val="340"/>
        </w:trPr>
        <w:tc>
          <w:tcPr>
            <w:tcW w:w="1445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86AF9" w14:textId="782C7A25" w:rsidR="009E6A5B" w:rsidRPr="0087494E" w:rsidRDefault="009E6A5B" w:rsidP="00150FDB">
            <w:pPr>
              <w:widowControl/>
              <w:suppressAutoHyphens w:val="0"/>
              <w:spacing w:before="0" w:after="0" w:line="240" w:lineRule="auto"/>
              <w:contextualSpacing w:val="0"/>
              <w:jc w:val="center"/>
              <w:rPr>
                <w:b/>
                <w:color w:val="FFFFFF" w:themeColor="background1"/>
              </w:rPr>
            </w:pPr>
            <w:r w:rsidRPr="00174138">
              <w:rPr>
                <w:b/>
                <w:color w:val="auto"/>
              </w:rPr>
              <w:t>INDICATORI CLIMATICI ȘI ALȚI INDICATORI LEGAȚI DE MEDIU</w:t>
            </w:r>
          </w:p>
        </w:tc>
      </w:tr>
      <w:tr w:rsidR="00E6328A" w:rsidRPr="00E3260F" w14:paraId="078E009A" w14:textId="77777777" w:rsidTr="00B22082">
        <w:trPr>
          <w:gridAfter w:val="1"/>
          <w:wAfter w:w="52" w:type="dxa"/>
          <w:trHeight w:val="340"/>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4504682" w14:textId="77777777"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Indicator de sustenabilitate negativ</w:t>
            </w:r>
          </w:p>
        </w:tc>
        <w:tc>
          <w:tcPr>
            <w:tcW w:w="2693" w:type="dxa"/>
            <w:tcBorders>
              <w:top w:val="single" w:sz="4" w:space="0" w:color="auto"/>
              <w:left w:val="single" w:sz="4" w:space="0" w:color="auto"/>
              <w:bottom w:val="single" w:sz="4" w:space="0" w:color="auto"/>
              <w:right w:val="single" w:sz="4" w:space="0" w:color="auto"/>
            </w:tcBorders>
            <w:vAlign w:val="center"/>
          </w:tcPr>
          <w:p w14:paraId="16AD9656" w14:textId="77777777"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Metric</w:t>
            </w:r>
          </w:p>
        </w:tc>
        <w:tc>
          <w:tcPr>
            <w:tcW w:w="1179" w:type="dxa"/>
            <w:tcBorders>
              <w:top w:val="single" w:sz="4" w:space="0" w:color="auto"/>
              <w:left w:val="single" w:sz="4" w:space="0" w:color="auto"/>
              <w:bottom w:val="single" w:sz="4" w:space="0" w:color="auto"/>
              <w:right w:val="single" w:sz="4" w:space="0" w:color="auto"/>
            </w:tcBorders>
            <w:vAlign w:val="center"/>
          </w:tcPr>
          <w:p w14:paraId="79881DB8" w14:textId="0FDFCB6E"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4D1F49">
              <w:rPr>
                <w:rFonts w:eastAsia="Calibri" w:cs="Arial"/>
                <w:b/>
                <w:noProof/>
                <w:color w:val="auto"/>
                <w:sz w:val="16"/>
                <w:szCs w:val="16"/>
                <w:lang w:eastAsia="en-US"/>
              </w:rPr>
              <w:t>4</w:t>
            </w:r>
          </w:p>
          <w:p w14:paraId="1C6D220F" w14:textId="39A82352"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p>
        </w:tc>
        <w:tc>
          <w:tcPr>
            <w:tcW w:w="1179" w:type="dxa"/>
            <w:tcBorders>
              <w:top w:val="single" w:sz="4" w:space="0" w:color="auto"/>
              <w:left w:val="single" w:sz="4" w:space="0" w:color="auto"/>
              <w:bottom w:val="single" w:sz="4" w:space="0" w:color="auto"/>
              <w:right w:val="single" w:sz="4" w:space="0" w:color="auto"/>
            </w:tcBorders>
            <w:vAlign w:val="center"/>
          </w:tcPr>
          <w:p w14:paraId="21C0517F" w14:textId="7E50E85A" w:rsidR="00E6328A" w:rsidRPr="00174138" w:rsidRDefault="00E6328A" w:rsidP="004D1F49">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Impact 202</w:t>
            </w:r>
            <w:r w:rsidR="004D1F49">
              <w:rPr>
                <w:rFonts w:eastAsia="Calibri" w:cs="Arial"/>
                <w:b/>
                <w:noProof/>
                <w:color w:val="auto"/>
                <w:sz w:val="16"/>
                <w:szCs w:val="16"/>
                <w:lang w:eastAsia="en-US"/>
              </w:rPr>
              <w:t>3</w:t>
            </w:r>
          </w:p>
        </w:tc>
        <w:tc>
          <w:tcPr>
            <w:tcW w:w="2320" w:type="dxa"/>
            <w:tcBorders>
              <w:top w:val="single" w:sz="4" w:space="0" w:color="auto"/>
              <w:left w:val="single" w:sz="4" w:space="0" w:color="auto"/>
              <w:bottom w:val="single" w:sz="4" w:space="0" w:color="auto"/>
              <w:right w:val="single" w:sz="4" w:space="0" w:color="auto"/>
            </w:tcBorders>
            <w:vAlign w:val="center"/>
          </w:tcPr>
          <w:p w14:paraId="6A0349E1" w14:textId="7317C2ED" w:rsidR="00E6328A" w:rsidRPr="00174138" w:rsidRDefault="00E6328A"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Explicație</w:t>
            </w:r>
          </w:p>
        </w:tc>
        <w:tc>
          <w:tcPr>
            <w:tcW w:w="5193" w:type="dxa"/>
            <w:tcBorders>
              <w:top w:val="single" w:sz="4" w:space="0" w:color="auto"/>
              <w:left w:val="single" w:sz="4" w:space="0" w:color="auto"/>
              <w:bottom w:val="single" w:sz="4" w:space="0" w:color="auto"/>
              <w:right w:val="single" w:sz="4" w:space="0" w:color="auto"/>
            </w:tcBorders>
            <w:vAlign w:val="center"/>
          </w:tcPr>
          <w:p w14:paraId="1B36274A" w14:textId="77777777" w:rsidR="00E6328A" w:rsidRPr="0087494E" w:rsidRDefault="00E6328A"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Acțiunile întreprinse, acțiunile planificate și obiectivele stabilite pentru următoarea perioadă de referință</w:t>
            </w:r>
          </w:p>
        </w:tc>
      </w:tr>
      <w:tr w:rsidR="00E6328A" w:rsidRPr="00E3260F" w14:paraId="75289BDD" w14:textId="77777777" w:rsidTr="00B22082">
        <w:trPr>
          <w:gridAfter w:val="1"/>
          <w:wAfter w:w="52" w:type="dxa"/>
        </w:trPr>
        <w:tc>
          <w:tcPr>
            <w:tcW w:w="846" w:type="dxa"/>
            <w:tcBorders>
              <w:top w:val="single" w:sz="4" w:space="0" w:color="auto"/>
              <w:left w:val="single" w:sz="4" w:space="0" w:color="auto"/>
              <w:bottom w:val="single" w:sz="4" w:space="0" w:color="auto"/>
              <w:right w:val="single" w:sz="4" w:space="0" w:color="auto"/>
            </w:tcBorders>
            <w:vAlign w:val="center"/>
          </w:tcPr>
          <w:p w14:paraId="6DB9C8B1" w14:textId="40E15D9D" w:rsidR="00E6328A" w:rsidRPr="00174138" w:rsidRDefault="00E6328A" w:rsidP="00150FDB">
            <w:pPr>
              <w:widowControl/>
              <w:suppressAutoHyphens w:val="0"/>
              <w:spacing w:before="0" w:after="0" w:line="240" w:lineRule="auto"/>
              <w:contextualSpacing w:val="0"/>
              <w:rPr>
                <w:rFonts w:eastAsia="Calibri" w:cs="Arial"/>
                <w:noProof/>
                <w:color w:val="auto"/>
                <w:sz w:val="14"/>
                <w:szCs w:val="12"/>
                <w:lang w:val="en-GB" w:eastAsia="en-US"/>
              </w:rPr>
            </w:pPr>
            <w:r w:rsidRPr="00174138">
              <w:rPr>
                <w:rFonts w:eastAsia="Calibri" w:cs="Arial"/>
                <w:noProof/>
                <w:color w:val="auto"/>
                <w:sz w:val="14"/>
                <w:szCs w:val="12"/>
                <w:lang w:eastAsia="en-US"/>
              </w:rPr>
              <w:t>Emisiilor</w:t>
            </w:r>
          </w:p>
        </w:tc>
        <w:tc>
          <w:tcPr>
            <w:tcW w:w="992" w:type="dxa"/>
            <w:tcBorders>
              <w:top w:val="single" w:sz="4" w:space="0" w:color="auto"/>
              <w:left w:val="single" w:sz="4" w:space="0" w:color="auto"/>
              <w:bottom w:val="single" w:sz="4" w:space="0" w:color="auto"/>
              <w:right w:val="single" w:sz="4" w:space="0" w:color="auto"/>
            </w:tcBorders>
            <w:vAlign w:val="center"/>
          </w:tcPr>
          <w:p w14:paraId="0B5529B6" w14:textId="2B5305C7" w:rsidR="00E6328A" w:rsidRPr="00174138" w:rsidRDefault="00E6328A" w:rsidP="00150FDB">
            <w:pPr>
              <w:widowControl/>
              <w:suppressAutoHyphens w:val="0"/>
              <w:spacing w:before="0" w:after="0" w:line="240" w:lineRule="auto"/>
              <w:contextualSpacing w:val="0"/>
              <w:rPr>
                <w:rFonts w:cs="Arial"/>
                <w:bCs/>
                <w:noProof/>
                <w:color w:val="auto"/>
                <w:sz w:val="14"/>
                <w:szCs w:val="12"/>
                <w:lang w:val="en-GB" w:eastAsia="en-GB"/>
              </w:rPr>
            </w:pPr>
            <w:r w:rsidRPr="00174138">
              <w:rPr>
                <w:rFonts w:cs="Arial"/>
                <w:bCs/>
                <w:noProof/>
                <w:color w:val="auto"/>
                <w:sz w:val="14"/>
                <w:szCs w:val="12"/>
                <w:lang w:eastAsia="en-GB"/>
              </w:rPr>
              <w:t>4.Investiții în întreprinderi fără inițiative de reducere a emisiilor de dioxid de carbon</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5D2DE4E3" w14:textId="304A1FDA" w:rsidR="00E6328A" w:rsidRPr="0087494E" w:rsidRDefault="00E6328A" w:rsidP="00150FDB">
            <w:pPr>
              <w:widowControl/>
              <w:suppressAutoHyphens w:val="0"/>
              <w:spacing w:before="0" w:after="0" w:line="240" w:lineRule="auto"/>
              <w:contextualSpacing w:val="0"/>
              <w:rPr>
                <w:rFonts w:eastAsia="Calibri" w:cs="Arial"/>
                <w:noProof/>
                <w:color w:val="auto"/>
                <w:sz w:val="14"/>
                <w:szCs w:val="12"/>
                <w:lang w:eastAsia="en-US"/>
              </w:rPr>
            </w:pPr>
            <w:r w:rsidRPr="00174138">
              <w:rPr>
                <w:rFonts w:eastAsia="Calibri" w:cs="Arial"/>
                <w:noProof/>
                <w:sz w:val="14"/>
                <w:szCs w:val="12"/>
                <w:lang w:eastAsia="en-US"/>
              </w:rPr>
              <w:t>Ponderea investițiilor în societățile în care s-a investit fără inițiative de reducere a emisiilor de carbon menite să se alinieze la Acordul de la Paris</w:t>
            </w:r>
          </w:p>
        </w:tc>
        <w:tc>
          <w:tcPr>
            <w:tcW w:w="1179" w:type="dxa"/>
            <w:tcBorders>
              <w:top w:val="single" w:sz="4" w:space="0" w:color="auto"/>
              <w:left w:val="single" w:sz="4" w:space="0" w:color="auto"/>
              <w:bottom w:val="single" w:sz="4" w:space="0" w:color="auto"/>
              <w:right w:val="single" w:sz="4" w:space="0" w:color="auto"/>
            </w:tcBorders>
          </w:tcPr>
          <w:p w14:paraId="44B2B407" w14:textId="5BDC60BB" w:rsidR="00E6328A" w:rsidRPr="0087494E" w:rsidRDefault="00E6328A" w:rsidP="00150FDB">
            <w:pPr>
              <w:widowControl/>
              <w:suppressAutoHyphens w:val="0"/>
              <w:spacing w:before="0" w:after="0" w:line="240" w:lineRule="auto"/>
              <w:contextualSpacing w:val="0"/>
              <w:jc w:val="both"/>
              <w:rPr>
                <w:rFonts w:eastAsia="Calibri" w:cs="Arial"/>
                <w:noProof/>
                <w:color w:val="auto"/>
                <w:sz w:val="12"/>
                <w:szCs w:val="10"/>
                <w:lang w:eastAsia="en-US"/>
              </w:rPr>
            </w:pPr>
          </w:p>
        </w:tc>
        <w:tc>
          <w:tcPr>
            <w:tcW w:w="1179" w:type="dxa"/>
            <w:tcBorders>
              <w:top w:val="single" w:sz="4" w:space="0" w:color="auto"/>
              <w:left w:val="single" w:sz="4" w:space="0" w:color="auto"/>
              <w:bottom w:val="single" w:sz="4" w:space="0" w:color="auto"/>
              <w:right w:val="single" w:sz="4" w:space="0" w:color="auto"/>
            </w:tcBorders>
          </w:tcPr>
          <w:p w14:paraId="16B14909" w14:textId="365E547F" w:rsidR="00E6328A" w:rsidRPr="0087494E" w:rsidRDefault="00E6328A" w:rsidP="00150FDB">
            <w:pPr>
              <w:widowControl/>
              <w:suppressAutoHyphens w:val="0"/>
              <w:spacing w:before="0" w:after="0" w:line="240" w:lineRule="auto"/>
              <w:contextualSpacing w:val="0"/>
              <w:jc w:val="both"/>
              <w:rPr>
                <w:rFonts w:eastAsia="Calibri" w:cs="Arial"/>
                <w:noProof/>
                <w:color w:val="auto"/>
                <w:sz w:val="12"/>
                <w:szCs w:val="10"/>
                <w:lang w:eastAsia="en-US"/>
              </w:rPr>
            </w:pPr>
          </w:p>
        </w:tc>
        <w:tc>
          <w:tcPr>
            <w:tcW w:w="2320" w:type="dxa"/>
            <w:tcBorders>
              <w:top w:val="single" w:sz="4" w:space="0" w:color="auto"/>
              <w:left w:val="single" w:sz="4" w:space="0" w:color="auto"/>
              <w:bottom w:val="single" w:sz="4" w:space="0" w:color="auto"/>
              <w:right w:val="single" w:sz="4" w:space="0" w:color="auto"/>
            </w:tcBorders>
          </w:tcPr>
          <w:p w14:paraId="2A4BA59A" w14:textId="608D0EAB" w:rsidR="00E6328A" w:rsidRPr="0087494E" w:rsidRDefault="00E6328A" w:rsidP="00150FDB">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4"/>
                <w:szCs w:val="12"/>
                <w:lang w:eastAsia="en-US"/>
              </w:rPr>
              <w:t>Procentul din valoarea de piață a portofoliului expus emitenților fără un obiectiv de reducere a emisiilor de carbon aliniat la Acordul de la Paris.</w:t>
            </w:r>
          </w:p>
        </w:tc>
        <w:tc>
          <w:tcPr>
            <w:tcW w:w="5193" w:type="dxa"/>
            <w:tcBorders>
              <w:top w:val="single" w:sz="4" w:space="0" w:color="auto"/>
              <w:left w:val="single" w:sz="4" w:space="0" w:color="auto"/>
              <w:right w:val="single" w:sz="4" w:space="0" w:color="auto"/>
            </w:tcBorders>
          </w:tcPr>
          <w:p w14:paraId="13A77B56" w14:textId="6326FBBF" w:rsidR="00E6328A" w:rsidRPr="0087494E" w:rsidRDefault="00E6328A" w:rsidP="00FF63A0">
            <w:pPr>
              <w:widowControl/>
              <w:suppressAutoHyphens w:val="0"/>
              <w:spacing w:before="0" w:after="0" w:line="240" w:lineRule="auto"/>
              <w:contextualSpacing w:val="0"/>
              <w:jc w:val="both"/>
              <w:rPr>
                <w:rFonts w:eastAsia="Calibri" w:cs="Arial"/>
                <w:color w:val="auto"/>
                <w:sz w:val="14"/>
                <w:szCs w:val="14"/>
                <w:lang w:eastAsia="en-US"/>
              </w:rPr>
            </w:pPr>
            <w:r w:rsidRPr="00174138">
              <w:rPr>
                <w:color w:val="auto"/>
                <w:sz w:val="14"/>
                <w:szCs w:val="14"/>
              </w:rPr>
              <w:t>Angajamentul Grupului privind clima este atât pe termen lung, cât și orientat spre viitor. În calitate de membru al UN Net Zero Asset Owner Alliance, Grupul</w:t>
            </w:r>
            <w:r w:rsidRPr="00174138">
              <w:rPr>
                <w:rFonts w:eastAsia="Calibri" w:cs="Arial"/>
                <w:color w:val="auto"/>
                <w:sz w:val="14"/>
                <w:szCs w:val="14"/>
                <w:lang w:eastAsia="en-US"/>
              </w:rPr>
              <w:t xml:space="preserve"> se angajează să își tranziționeze portofoliile de investiții la zero emisii nete de gaze cu efect de seră până în 2050, în concordanță cu o creștere maximă a temperaturii de 1,5 grade Celsius peste temperaturile preindustriale. Pentru portofoliul de investiții Corporate (acțiuni și venit fix), Grupul a stabilit un obiectiv intermediar de reducere cu </w:t>
            </w:r>
            <w:r w:rsidR="0015467A">
              <w:rPr>
                <w:rFonts w:eastAsia="Calibri" w:cs="Arial"/>
                <w:color w:val="auto"/>
                <w:sz w:val="14"/>
                <w:szCs w:val="14"/>
                <w:lang w:eastAsia="en-US"/>
              </w:rPr>
              <w:t>60</w:t>
            </w:r>
            <w:r w:rsidRPr="00174138">
              <w:rPr>
                <w:rFonts w:eastAsia="Calibri" w:cs="Arial"/>
                <w:color w:val="auto"/>
                <w:sz w:val="14"/>
                <w:szCs w:val="14"/>
                <w:lang w:eastAsia="en-US"/>
              </w:rPr>
              <w:t xml:space="preserve">% a emisiilor de GES până la 20 29 ani (comparativ cu nivelul de referință din anul 2019). În acest context, angajamentele de decarbonizare ale companiilor sunt o componentă cheie a strategiei de decarbonizare: companiile fără inițiative de reducere a emisiilor de carbon nu vor contribui la decarbonizarea portofoliului, care este deosebit de relevantă pentru sectoarele cu emisii ridicate de carbon, cum ar fi utilitățile, energia sau materialele. Din acest motiv, Grupul introduce treptat în </w:t>
            </w:r>
            <w:r w:rsidRPr="00174138">
              <w:rPr>
                <w:rFonts w:eastAsia="Calibri" w:cs="Arial"/>
                <w:color w:val="auto"/>
                <w:sz w:val="14"/>
                <w:szCs w:val="14"/>
                <w:lang w:eastAsia="en-US"/>
              </w:rPr>
              <w:lastRenderedPageBreak/>
              <w:t>portofoliu construcții și alocări și considerații legate de climă pentru a evalua sectoarele și emitenții relevanți pe baza traiectoriei lor de decarbonizare. În special, obiectivele climatice ale companiilor sunt o componentă a ratingurilor ESG, aplicate de Grup atât pentru abordările de screening negative, cât și pentru cele pozitive.</w:t>
            </w:r>
          </w:p>
          <w:p w14:paraId="331CDBCA" w14:textId="7FFD58D1" w:rsidR="00E6328A" w:rsidRPr="0087494E" w:rsidRDefault="00E6328A" w:rsidP="00B22082">
            <w:pPr>
              <w:widowControl/>
              <w:suppressAutoHyphens w:val="0"/>
              <w:spacing w:before="0" w:after="60" w:line="240" w:lineRule="auto"/>
              <w:contextualSpacing w:val="0"/>
              <w:jc w:val="both"/>
              <w:rPr>
                <w:rFonts w:eastAsia="Calibri" w:cs="Arial"/>
                <w:color w:val="auto"/>
                <w:sz w:val="14"/>
                <w:szCs w:val="14"/>
                <w:lang w:eastAsia="en-US"/>
              </w:rPr>
            </w:pPr>
            <w:r w:rsidRPr="0087494E">
              <w:rPr>
                <w:rFonts w:eastAsia="Calibri" w:cs="Arial"/>
                <w:color w:val="auto"/>
                <w:sz w:val="14"/>
                <w:szCs w:val="14"/>
                <w:lang w:eastAsia="en-US"/>
              </w:rPr>
              <w:t xml:space="preserve">Mai mult, în ceea ce privește abordarea Active Ownership, Generali a fost: (i) stabilirea unor obiective de </w:t>
            </w:r>
            <w:r w:rsidR="009E44D3">
              <w:rPr>
                <w:rFonts w:eastAsia="Calibri" w:cs="Arial"/>
                <w:color w:val="auto"/>
                <w:sz w:val="14"/>
                <w:szCs w:val="14"/>
                <w:lang w:eastAsia="en-US"/>
              </w:rPr>
              <w:t>angajament</w:t>
            </w:r>
            <w:r w:rsidRPr="0087494E">
              <w:rPr>
                <w:rFonts w:eastAsia="Calibri" w:cs="Arial"/>
                <w:color w:val="auto"/>
                <w:sz w:val="14"/>
                <w:szCs w:val="14"/>
                <w:lang w:eastAsia="en-US"/>
              </w:rPr>
              <w:t xml:space="preserve"> până în YE202</w:t>
            </w:r>
            <w:r w:rsidR="0093655B" w:rsidRPr="0087494E">
              <w:rPr>
                <w:rFonts w:eastAsia="Calibri" w:cs="Arial"/>
                <w:color w:val="auto"/>
                <w:sz w:val="14"/>
                <w:szCs w:val="14"/>
                <w:lang w:eastAsia="en-US"/>
              </w:rPr>
              <w:t>9</w:t>
            </w:r>
            <w:r w:rsidRPr="0087494E">
              <w:rPr>
                <w:rFonts w:eastAsia="Calibri" w:cs="Arial"/>
                <w:color w:val="auto"/>
                <w:sz w:val="14"/>
                <w:szCs w:val="14"/>
                <w:lang w:eastAsia="en-US"/>
              </w:rPr>
              <w:t xml:space="preserve"> cu privire la companiile din portofoliul nr. 20 care reprezintă cele mai mari emisii de gaze cu efect de seră pentru a influența planul lor de tranziție către o lume cu zero emisii nete până în 2050; (ii) menținerea practicilor de vot ale Grupului aliniate la angajamentul de zero emisii nete și utilizarea voturilor pentru a trage la răspundere companiile atunci când nu fac progrese satisfăcătoare în abordarea schimbărilor climatice sau în sprijinirea atenuării schimbărilor climatice; și (iii) alăturarea activităților instituționale în cadrul rețelelor și afilierilor noastre. </w:t>
            </w:r>
            <w:r w:rsidRPr="00174138">
              <w:rPr>
                <w:rFonts w:eastAsia="Calibri" w:cs="Arial"/>
                <w:color w:val="auto"/>
                <w:sz w:val="14"/>
                <w:szCs w:val="14"/>
                <w:lang w:eastAsia="en-US"/>
              </w:rPr>
              <w:t xml:space="preserve">Pentru informații detaliate, consultați </w:t>
            </w:r>
            <w:r w:rsidR="009B07C7">
              <w:rPr>
                <w:rFonts w:eastAsia="Calibri" w:cs="Arial"/>
                <w:color w:val="auto"/>
                <w:sz w:val="14"/>
                <w:szCs w:val="14"/>
                <w:lang w:eastAsia="en-US"/>
              </w:rPr>
              <w:t xml:space="preserve">Raportul privind acționariatul activ al grupului din 2024 este disponibil pe site-ul Generali.  </w:t>
            </w:r>
            <w:r w:rsidRPr="00174138">
              <w:rPr>
                <w:rFonts w:eastAsia="Calibri" w:cs="Arial"/>
                <w:color w:val="auto"/>
                <w:sz w:val="14"/>
                <w:szCs w:val="14"/>
                <w:lang w:eastAsia="en-US"/>
              </w:rPr>
              <w:t xml:space="preserve">. </w:t>
            </w:r>
          </w:p>
        </w:tc>
      </w:tr>
    </w:tbl>
    <w:p w14:paraId="72AF7B57" w14:textId="77777777" w:rsidR="00CC6535" w:rsidRPr="0087494E" w:rsidRDefault="00CC6535" w:rsidP="00150FDB">
      <w:pPr>
        <w:widowControl/>
        <w:suppressAutoHyphens w:val="0"/>
        <w:spacing w:before="0" w:after="0" w:line="240" w:lineRule="auto"/>
        <w:contextualSpacing w:val="0"/>
      </w:pPr>
    </w:p>
    <w:p w14:paraId="67ECBCD0" w14:textId="066CB74B" w:rsidR="00586AFA" w:rsidRPr="0087494E" w:rsidRDefault="00586AFA" w:rsidP="00150FDB">
      <w:pPr>
        <w:widowControl/>
        <w:suppressAutoHyphens w:val="0"/>
        <w:autoSpaceDN/>
        <w:spacing w:before="0" w:after="120" w:line="240" w:lineRule="auto"/>
        <w:jc w:val="center"/>
        <w:rPr>
          <w:rFonts w:ascii="Times New Roman" w:eastAsia="Calibri" w:hAnsi="Times New Roman"/>
          <w:i/>
          <w:iCs/>
          <w:noProof/>
          <w:color w:val="auto"/>
          <w:sz w:val="24"/>
          <w:szCs w:val="22"/>
          <w:lang w:eastAsia="en-US"/>
        </w:rPr>
      </w:pPr>
      <w:r w:rsidRPr="00174138">
        <w:rPr>
          <w:rFonts w:ascii="Times New Roman" w:eastAsia="Calibri" w:hAnsi="Times New Roman"/>
          <w:i/>
          <w:iCs/>
          <w:noProof/>
          <w:color w:val="auto"/>
          <w:sz w:val="24"/>
          <w:szCs w:val="22"/>
          <w:lang w:eastAsia="en-US"/>
        </w:rPr>
        <w:t>Tabelul 3 - Indicatori suplimentari pentru aspecte sociale și ale angajaților, respectarea drepturilor omului, combaterea corupției și a mitei</w:t>
      </w:r>
    </w:p>
    <w:p w14:paraId="2AA85E5F" w14:textId="77777777" w:rsidR="00586AFA" w:rsidRPr="0087494E" w:rsidRDefault="00586AFA" w:rsidP="00150FDB">
      <w:pPr>
        <w:widowControl/>
        <w:suppressAutoHyphens w:val="0"/>
        <w:spacing w:before="0" w:after="0" w:line="240" w:lineRule="auto"/>
        <w:contextualSpacing w:val="0"/>
      </w:pPr>
    </w:p>
    <w:tbl>
      <w:tblPr>
        <w:tblStyle w:val="TableGrid21"/>
        <w:tblW w:w="14454" w:type="dxa"/>
        <w:tblLayout w:type="fixed"/>
        <w:tblCellMar>
          <w:left w:w="28" w:type="dxa"/>
          <w:right w:w="28" w:type="dxa"/>
        </w:tblCellMar>
        <w:tblLook w:val="04A0" w:firstRow="1" w:lastRow="0" w:firstColumn="1" w:lastColumn="0" w:noHBand="0" w:noVBand="1"/>
      </w:tblPr>
      <w:tblGrid>
        <w:gridCol w:w="846"/>
        <w:gridCol w:w="1417"/>
        <w:gridCol w:w="2268"/>
        <w:gridCol w:w="1276"/>
        <w:gridCol w:w="1276"/>
        <w:gridCol w:w="2126"/>
        <w:gridCol w:w="5245"/>
      </w:tblGrid>
      <w:tr w:rsidR="00DD1BDD" w:rsidRPr="00E3260F" w14:paraId="2B12C279" w14:textId="77777777" w:rsidTr="00263EB0">
        <w:trPr>
          <w:trHeight w:val="340"/>
          <w:tblHeader/>
        </w:trPr>
        <w:tc>
          <w:tcPr>
            <w:tcW w:w="14454" w:type="dxa"/>
            <w:gridSpan w:val="7"/>
            <w:tcBorders>
              <w:top w:val="single" w:sz="4" w:space="0" w:color="auto"/>
              <w:left w:val="single" w:sz="4" w:space="0" w:color="auto"/>
              <w:bottom w:val="single" w:sz="4" w:space="0" w:color="auto"/>
              <w:right w:val="single" w:sz="4" w:space="0" w:color="auto"/>
            </w:tcBorders>
            <w:shd w:val="clear" w:color="auto" w:fill="C00000"/>
          </w:tcPr>
          <w:p w14:paraId="511B9AE9" w14:textId="210B2792" w:rsidR="00DD1BDD" w:rsidRPr="0087494E" w:rsidRDefault="00DD1BDD"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b/>
                <w:color w:val="FFFFFF" w:themeColor="background1"/>
                <w:szCs w:val="24"/>
              </w:rPr>
              <w:t>Indicatori aplicabili investițiilor în SUVERANE ȘI SUPRANAȚIONALE</w:t>
            </w:r>
          </w:p>
        </w:tc>
      </w:tr>
      <w:tr w:rsidR="00DD1BDD" w:rsidRPr="00E3260F" w14:paraId="76C58EBC" w14:textId="77777777" w:rsidTr="00263EB0">
        <w:trPr>
          <w:trHeight w:val="340"/>
        </w:trPr>
        <w:tc>
          <w:tcPr>
            <w:tcW w:w="1445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B7008" w14:textId="550F2FF6" w:rsidR="00DD1BDD" w:rsidRPr="0087494E" w:rsidRDefault="00DD1BDD" w:rsidP="00150FDB">
            <w:pPr>
              <w:widowControl/>
              <w:suppressAutoHyphens w:val="0"/>
              <w:spacing w:before="0" w:after="0" w:line="240" w:lineRule="auto"/>
              <w:contextualSpacing w:val="0"/>
              <w:jc w:val="center"/>
              <w:rPr>
                <w:b/>
                <w:color w:val="FFFFFF" w:themeColor="background1"/>
              </w:rPr>
            </w:pPr>
            <w:r w:rsidRPr="00174138">
              <w:rPr>
                <w:b/>
                <w:color w:val="auto"/>
              </w:rPr>
              <w:t>INDICATORI SUPLIMENTARI PENTRU ASPECTE SOCIALE ȘI ALE ANGAJAȚILOR, RESPECTAREA DREPTURILOR OMULUI, COMBATEREA CORUPȚIEI ȘI A MITEI</w:t>
            </w:r>
          </w:p>
        </w:tc>
      </w:tr>
      <w:tr w:rsidR="00D90C52" w:rsidRPr="00E3260F" w14:paraId="0C4EDB4B" w14:textId="77777777" w:rsidTr="00B22082">
        <w:trPr>
          <w:trHeight w:val="34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1401CC78" w14:textId="77777777" w:rsidR="00D90C52" w:rsidRPr="00174138" w:rsidRDefault="00D90C5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Indicator de sustenabilitate negativ</w:t>
            </w:r>
          </w:p>
        </w:tc>
        <w:tc>
          <w:tcPr>
            <w:tcW w:w="2268" w:type="dxa"/>
            <w:tcBorders>
              <w:top w:val="single" w:sz="4" w:space="0" w:color="auto"/>
              <w:left w:val="single" w:sz="4" w:space="0" w:color="auto"/>
              <w:bottom w:val="single" w:sz="4" w:space="0" w:color="auto"/>
              <w:right w:val="single" w:sz="4" w:space="0" w:color="auto"/>
            </w:tcBorders>
            <w:vAlign w:val="center"/>
          </w:tcPr>
          <w:p w14:paraId="240DC8F9" w14:textId="77777777" w:rsidR="00D90C52" w:rsidRPr="00174138" w:rsidRDefault="00D90C5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Metric</w:t>
            </w:r>
          </w:p>
        </w:tc>
        <w:tc>
          <w:tcPr>
            <w:tcW w:w="1276" w:type="dxa"/>
            <w:tcBorders>
              <w:top w:val="single" w:sz="4" w:space="0" w:color="auto"/>
              <w:left w:val="single" w:sz="4" w:space="0" w:color="auto"/>
              <w:bottom w:val="single" w:sz="4" w:space="0" w:color="auto"/>
              <w:right w:val="single" w:sz="4" w:space="0" w:color="auto"/>
            </w:tcBorders>
            <w:vAlign w:val="center"/>
          </w:tcPr>
          <w:p w14:paraId="5C9F2A0C" w14:textId="20D66974" w:rsidR="00D90C52" w:rsidRPr="00174138" w:rsidRDefault="00D90C5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 xml:space="preserve">Impact </w:t>
            </w:r>
            <w:r w:rsidR="0032644E" w:rsidRPr="00174138">
              <w:rPr>
                <w:rFonts w:eastAsia="Calibri" w:cs="Arial"/>
                <w:b/>
                <w:noProof/>
                <w:color w:val="auto"/>
                <w:sz w:val="16"/>
                <w:szCs w:val="16"/>
                <w:lang w:eastAsia="en-US"/>
              </w:rPr>
              <w:t>2024</w:t>
            </w:r>
          </w:p>
          <w:p w14:paraId="3FE3C6D5" w14:textId="025FD1DB" w:rsidR="00D90C52" w:rsidRPr="00174138" w:rsidRDefault="00D90C5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04FB312" w14:textId="7CD51840" w:rsidR="00D90C52" w:rsidRPr="00174138" w:rsidRDefault="00D90C52" w:rsidP="0032644E">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 xml:space="preserve">Impact </w:t>
            </w:r>
            <w:r w:rsidR="0032644E">
              <w:rPr>
                <w:rFonts w:eastAsia="Calibri" w:cs="Arial"/>
                <w:b/>
                <w:noProof/>
                <w:color w:val="auto"/>
                <w:sz w:val="16"/>
                <w:szCs w:val="16"/>
                <w:lang w:eastAsia="en-US"/>
              </w:rPr>
              <w:t>2023</w:t>
            </w:r>
          </w:p>
        </w:tc>
        <w:tc>
          <w:tcPr>
            <w:tcW w:w="2126" w:type="dxa"/>
            <w:tcBorders>
              <w:top w:val="single" w:sz="4" w:space="0" w:color="auto"/>
              <w:left w:val="single" w:sz="4" w:space="0" w:color="auto"/>
              <w:bottom w:val="single" w:sz="4" w:space="0" w:color="auto"/>
              <w:right w:val="single" w:sz="4" w:space="0" w:color="auto"/>
            </w:tcBorders>
            <w:vAlign w:val="center"/>
          </w:tcPr>
          <w:p w14:paraId="2C957D47" w14:textId="63BBBA65" w:rsidR="00D90C52" w:rsidRPr="00174138" w:rsidRDefault="00D90C52" w:rsidP="00150FDB">
            <w:pPr>
              <w:widowControl/>
              <w:suppressAutoHyphens w:val="0"/>
              <w:spacing w:before="0" w:after="0" w:line="240" w:lineRule="auto"/>
              <w:contextualSpacing w:val="0"/>
              <w:jc w:val="center"/>
              <w:rPr>
                <w:rFonts w:eastAsia="Calibri" w:cs="Arial"/>
                <w:b/>
                <w:noProof/>
                <w:color w:val="auto"/>
                <w:sz w:val="16"/>
                <w:szCs w:val="16"/>
                <w:lang w:val="en-GB" w:eastAsia="en-US"/>
              </w:rPr>
            </w:pPr>
            <w:r w:rsidRPr="00174138">
              <w:rPr>
                <w:rFonts w:eastAsia="Calibri" w:cs="Arial"/>
                <w:b/>
                <w:noProof/>
                <w:color w:val="auto"/>
                <w:sz w:val="16"/>
                <w:szCs w:val="16"/>
                <w:lang w:eastAsia="en-US"/>
              </w:rPr>
              <w:t>Explicație</w:t>
            </w:r>
          </w:p>
        </w:tc>
        <w:tc>
          <w:tcPr>
            <w:tcW w:w="5245" w:type="dxa"/>
            <w:tcBorders>
              <w:top w:val="single" w:sz="4" w:space="0" w:color="auto"/>
              <w:left w:val="single" w:sz="4" w:space="0" w:color="auto"/>
              <w:bottom w:val="single" w:sz="4" w:space="0" w:color="auto"/>
              <w:right w:val="single" w:sz="4" w:space="0" w:color="auto"/>
            </w:tcBorders>
            <w:vAlign w:val="center"/>
          </w:tcPr>
          <w:p w14:paraId="7DF3C80F" w14:textId="77777777" w:rsidR="00D90C52" w:rsidRPr="0087494E" w:rsidRDefault="00D90C52" w:rsidP="00150FDB">
            <w:pPr>
              <w:widowControl/>
              <w:suppressAutoHyphens w:val="0"/>
              <w:spacing w:before="0" w:after="0" w:line="240" w:lineRule="auto"/>
              <w:contextualSpacing w:val="0"/>
              <w:jc w:val="center"/>
              <w:rPr>
                <w:rFonts w:eastAsia="Calibri" w:cs="Arial"/>
                <w:b/>
                <w:noProof/>
                <w:color w:val="auto"/>
                <w:sz w:val="16"/>
                <w:szCs w:val="16"/>
                <w:lang w:eastAsia="en-US"/>
              </w:rPr>
            </w:pPr>
            <w:r w:rsidRPr="00174138">
              <w:rPr>
                <w:rFonts w:eastAsia="Calibri" w:cs="Arial"/>
                <w:b/>
                <w:noProof/>
                <w:color w:val="auto"/>
                <w:sz w:val="16"/>
                <w:szCs w:val="16"/>
                <w:lang w:eastAsia="en-US"/>
              </w:rPr>
              <w:t>Acțiunile întreprinse, acțiunile planificate și obiectivele stabilite pentru următoarea perioadă de referință</w:t>
            </w:r>
          </w:p>
        </w:tc>
      </w:tr>
      <w:tr w:rsidR="00D90C52" w:rsidRPr="00E3260F" w14:paraId="5B396E27" w14:textId="77777777" w:rsidTr="00B22082">
        <w:tc>
          <w:tcPr>
            <w:tcW w:w="846" w:type="dxa"/>
            <w:tcBorders>
              <w:top w:val="single" w:sz="4" w:space="0" w:color="auto"/>
              <w:left w:val="single" w:sz="4" w:space="0" w:color="auto"/>
              <w:bottom w:val="single" w:sz="4" w:space="0" w:color="auto"/>
              <w:right w:val="single" w:sz="4" w:space="0" w:color="auto"/>
            </w:tcBorders>
            <w:vAlign w:val="center"/>
          </w:tcPr>
          <w:p w14:paraId="483F78D4" w14:textId="7B7770C5" w:rsidR="00D90C52" w:rsidRPr="00174138" w:rsidRDefault="00D90C52" w:rsidP="00A65EE9">
            <w:pPr>
              <w:widowControl/>
              <w:suppressAutoHyphens w:val="0"/>
              <w:spacing w:before="0" w:after="0" w:line="240" w:lineRule="auto"/>
              <w:contextualSpacing w:val="0"/>
              <w:rPr>
                <w:rFonts w:eastAsia="Calibri" w:cs="Arial"/>
                <w:noProof/>
                <w:color w:val="auto"/>
                <w:sz w:val="14"/>
                <w:szCs w:val="12"/>
                <w:lang w:val="en-GB" w:eastAsia="en-US"/>
              </w:rPr>
            </w:pPr>
            <w:r w:rsidRPr="00174138">
              <w:rPr>
                <w:rFonts w:eastAsia="Calibri" w:cs="Arial"/>
                <w:noProof/>
                <w:color w:val="auto"/>
                <w:sz w:val="14"/>
                <w:szCs w:val="12"/>
                <w:lang w:eastAsia="en-US"/>
              </w:rPr>
              <w:t>Guvernare</w:t>
            </w:r>
          </w:p>
        </w:tc>
        <w:tc>
          <w:tcPr>
            <w:tcW w:w="1417" w:type="dxa"/>
            <w:tcBorders>
              <w:top w:val="single" w:sz="4" w:space="0" w:color="auto"/>
              <w:left w:val="single" w:sz="4" w:space="0" w:color="auto"/>
              <w:bottom w:val="single" w:sz="4" w:space="0" w:color="auto"/>
              <w:right w:val="single" w:sz="4" w:space="0" w:color="auto"/>
            </w:tcBorders>
            <w:vAlign w:val="center"/>
          </w:tcPr>
          <w:p w14:paraId="460B39C7" w14:textId="527209DA" w:rsidR="00D90C52" w:rsidRPr="00174138" w:rsidRDefault="00D90C52" w:rsidP="00A65EE9">
            <w:pPr>
              <w:widowControl/>
              <w:suppressAutoHyphens w:val="0"/>
              <w:spacing w:before="0" w:after="0" w:line="240" w:lineRule="auto"/>
              <w:contextualSpacing w:val="0"/>
              <w:rPr>
                <w:rFonts w:cs="Arial"/>
                <w:bCs/>
                <w:noProof/>
                <w:color w:val="auto"/>
                <w:sz w:val="14"/>
                <w:szCs w:val="12"/>
                <w:lang w:val="en-GB" w:eastAsia="en-GB"/>
              </w:rPr>
            </w:pPr>
            <w:r w:rsidRPr="00174138">
              <w:rPr>
                <w:rFonts w:cs="Arial"/>
                <w:bCs/>
                <w:noProof/>
                <w:color w:val="auto"/>
                <w:sz w:val="14"/>
                <w:szCs w:val="12"/>
                <w:lang w:eastAsia="en-GB"/>
              </w:rPr>
              <w:t>22.Jurisdicțiile fiscale necooperante</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7B45C30" w14:textId="193636B2" w:rsidR="00D90C52" w:rsidRPr="0087494E" w:rsidRDefault="00D90C52" w:rsidP="00A65EE9">
            <w:pPr>
              <w:widowControl/>
              <w:suppressAutoHyphens w:val="0"/>
              <w:spacing w:before="0" w:after="0" w:line="240" w:lineRule="auto"/>
              <w:contextualSpacing w:val="0"/>
              <w:rPr>
                <w:rFonts w:eastAsia="Calibri" w:cs="Arial"/>
                <w:noProof/>
                <w:color w:val="auto"/>
                <w:sz w:val="14"/>
                <w:szCs w:val="12"/>
                <w:lang w:eastAsia="en-US"/>
              </w:rPr>
            </w:pPr>
            <w:r w:rsidRPr="00174138">
              <w:rPr>
                <w:rFonts w:eastAsia="Calibri" w:cs="Arial"/>
                <w:noProof/>
                <w:sz w:val="14"/>
                <w:szCs w:val="12"/>
                <w:lang w:eastAsia="en-US"/>
              </w:rPr>
              <w:t>Investiții în jurisdicții de pe lista UE a jurisdicțiilor necooperante în scopuri fiscale</w:t>
            </w:r>
          </w:p>
        </w:tc>
        <w:tc>
          <w:tcPr>
            <w:tcW w:w="1276" w:type="dxa"/>
            <w:tcBorders>
              <w:top w:val="single" w:sz="4" w:space="0" w:color="auto"/>
              <w:left w:val="single" w:sz="4" w:space="0" w:color="auto"/>
              <w:bottom w:val="single" w:sz="4" w:space="0" w:color="auto"/>
              <w:right w:val="single" w:sz="4" w:space="0" w:color="auto"/>
            </w:tcBorders>
          </w:tcPr>
          <w:p w14:paraId="1D416F90" w14:textId="2D6CD45C" w:rsidR="00D90C52" w:rsidRPr="0087494E" w:rsidRDefault="00D90C52" w:rsidP="00A65EE9">
            <w:pPr>
              <w:widowControl/>
              <w:suppressAutoHyphens w:val="0"/>
              <w:spacing w:before="0" w:after="0" w:line="240" w:lineRule="auto"/>
              <w:contextualSpacing w:val="0"/>
              <w:jc w:val="both"/>
              <w:rPr>
                <w:rFonts w:eastAsia="Calibri" w:cs="Arial"/>
                <w:noProof/>
                <w:color w:val="auto"/>
                <w:sz w:val="12"/>
                <w:szCs w:val="10"/>
                <w:lang w:eastAsia="en-US"/>
              </w:rPr>
            </w:pPr>
          </w:p>
        </w:tc>
        <w:tc>
          <w:tcPr>
            <w:tcW w:w="1276" w:type="dxa"/>
            <w:tcBorders>
              <w:top w:val="single" w:sz="4" w:space="0" w:color="auto"/>
              <w:left w:val="single" w:sz="4" w:space="0" w:color="auto"/>
              <w:bottom w:val="single" w:sz="4" w:space="0" w:color="auto"/>
              <w:right w:val="single" w:sz="4" w:space="0" w:color="auto"/>
            </w:tcBorders>
          </w:tcPr>
          <w:p w14:paraId="72619DC8" w14:textId="6981A391" w:rsidR="00D90C52" w:rsidRPr="0087494E" w:rsidRDefault="00D90C52" w:rsidP="00A65EE9">
            <w:pPr>
              <w:widowControl/>
              <w:suppressAutoHyphens w:val="0"/>
              <w:spacing w:before="0" w:after="0" w:line="240" w:lineRule="auto"/>
              <w:contextualSpacing w:val="0"/>
              <w:jc w:val="both"/>
              <w:rPr>
                <w:rFonts w:eastAsia="Calibri" w:cs="Arial"/>
                <w:noProof/>
                <w:color w:val="auto"/>
                <w:sz w:val="12"/>
                <w:szCs w:val="10"/>
                <w:lang w:eastAsia="en-US"/>
              </w:rPr>
            </w:pPr>
          </w:p>
        </w:tc>
        <w:tc>
          <w:tcPr>
            <w:tcW w:w="2126" w:type="dxa"/>
            <w:tcBorders>
              <w:top w:val="single" w:sz="4" w:space="0" w:color="auto"/>
              <w:left w:val="single" w:sz="4" w:space="0" w:color="auto"/>
              <w:bottom w:val="single" w:sz="4" w:space="0" w:color="auto"/>
              <w:right w:val="single" w:sz="4" w:space="0" w:color="auto"/>
            </w:tcBorders>
          </w:tcPr>
          <w:p w14:paraId="25EF03E2" w14:textId="13056FA2" w:rsidR="00D90C52" w:rsidRPr="0087494E" w:rsidRDefault="00D90C52" w:rsidP="00A65EE9">
            <w:pPr>
              <w:widowControl/>
              <w:suppressAutoHyphens w:val="0"/>
              <w:spacing w:before="0" w:after="0" w:line="240" w:lineRule="auto"/>
              <w:contextualSpacing w:val="0"/>
              <w:rPr>
                <w:rFonts w:eastAsia="Calibri" w:cs="Arial"/>
                <w:noProof/>
                <w:color w:val="auto"/>
                <w:sz w:val="14"/>
                <w:szCs w:val="14"/>
                <w:lang w:eastAsia="en-US"/>
              </w:rPr>
            </w:pPr>
            <w:r w:rsidRPr="00174138">
              <w:rPr>
                <w:rFonts w:eastAsia="Calibri" w:cs="Arial"/>
                <w:noProof/>
                <w:color w:val="auto"/>
                <w:sz w:val="12"/>
                <w:szCs w:val="10"/>
                <w:lang w:eastAsia="en-US"/>
              </w:rPr>
              <w:t>Procentul din valoarea de piață a portofoliului expus emitenților domiciliați în jurisdicții de pe lista UE a jurisdicțiilor necooperante în scopuri fiscale.</w:t>
            </w:r>
          </w:p>
        </w:tc>
        <w:tc>
          <w:tcPr>
            <w:tcW w:w="5245" w:type="dxa"/>
            <w:tcBorders>
              <w:top w:val="single" w:sz="4" w:space="0" w:color="auto"/>
              <w:left w:val="single" w:sz="4" w:space="0" w:color="auto"/>
              <w:right w:val="single" w:sz="4" w:space="0" w:color="auto"/>
            </w:tcBorders>
          </w:tcPr>
          <w:p w14:paraId="07C91B96" w14:textId="784320B2" w:rsidR="00D90C52" w:rsidRPr="0087494E" w:rsidRDefault="00D90C52" w:rsidP="00A65EE9">
            <w:pPr>
              <w:suppressAutoHyphens w:val="0"/>
              <w:spacing w:before="0" w:after="0" w:line="240" w:lineRule="auto"/>
              <w:contextualSpacing w:val="0"/>
              <w:jc w:val="both"/>
              <w:rPr>
                <w:color w:val="auto"/>
                <w:sz w:val="14"/>
                <w:szCs w:val="14"/>
              </w:rPr>
            </w:pPr>
            <w:r w:rsidRPr="00174138">
              <w:rPr>
                <w:b/>
                <w:color w:val="auto"/>
                <w:sz w:val="14"/>
                <w:szCs w:val="14"/>
              </w:rPr>
              <w:t xml:space="preserve">- Screening negativ: </w:t>
            </w:r>
            <w:r w:rsidRPr="00174138">
              <w:rPr>
                <w:color w:val="auto"/>
                <w:sz w:val="14"/>
                <w:szCs w:val="14"/>
              </w:rPr>
              <w:t>Screeningul negativ aplicat de Grup pentru emitenții suverani acoperă investițiile din țări considerate nealiniate la liniile directoare și normele internaționale privind spălarea banilor, finanțarea terorismului sau practicile fiscale.  Mai exact, țările de pe lista UE a jurisdicțiilor necooperante sunt excluse din investiții, iar orice expunere reziduală este de lichidare.</w:t>
            </w:r>
          </w:p>
          <w:p w14:paraId="63735965" w14:textId="0B537A7A" w:rsidR="00D90C52" w:rsidRPr="0087494E" w:rsidRDefault="00D90C52" w:rsidP="00A65EE9">
            <w:pPr>
              <w:suppressAutoHyphens w:val="0"/>
              <w:spacing w:before="0" w:after="0" w:line="240" w:lineRule="auto"/>
              <w:contextualSpacing w:val="0"/>
              <w:jc w:val="both"/>
              <w:rPr>
                <w:color w:val="auto"/>
                <w:sz w:val="14"/>
                <w:szCs w:val="14"/>
              </w:rPr>
            </w:pPr>
            <w:r w:rsidRPr="00174138">
              <w:rPr>
                <w:color w:val="auto"/>
                <w:sz w:val="14"/>
                <w:szCs w:val="14"/>
              </w:rPr>
              <w:t xml:space="preserve">A se vedea "Ghidul privind integrarea sustenabilității în investiții și în grupul de acționariat activ" </w:t>
            </w:r>
            <w:r w:rsidR="0006097F">
              <w:rPr>
                <w:color w:val="auto"/>
                <w:sz w:val="14"/>
                <w:szCs w:val="14"/>
              </w:rPr>
              <w:t>pe site-ul Generali</w:t>
            </w:r>
            <w:r w:rsidRPr="00174138">
              <w:rPr>
                <w:color w:val="auto"/>
                <w:sz w:val="14"/>
                <w:szCs w:val="14"/>
              </w:rPr>
              <w:t xml:space="preserve"> pentru o viziune completă asupra abordării, guvernanței și procesului de excludere a Grupului.</w:t>
            </w:r>
          </w:p>
        </w:tc>
      </w:tr>
    </w:tbl>
    <w:p w14:paraId="19A887B0" w14:textId="704180D2" w:rsidR="00442E9A" w:rsidRPr="0087494E" w:rsidRDefault="00442E9A" w:rsidP="00150FDB">
      <w:pPr>
        <w:widowControl/>
        <w:suppressAutoHyphens w:val="0"/>
        <w:spacing w:before="0" w:after="0" w:line="240" w:lineRule="auto"/>
        <w:contextualSpacing w:val="0"/>
        <w:rPr>
          <w:color w:val="BD2027"/>
          <w:sz w:val="20"/>
          <w:szCs w:val="20"/>
        </w:rPr>
        <w:sectPr w:rsidR="00442E9A" w:rsidRPr="0087494E" w:rsidSect="00C55B8D">
          <w:pgSz w:w="16840" w:h="11900" w:orient="landscape"/>
          <w:pgMar w:top="2552" w:right="1077" w:bottom="1440" w:left="1077" w:header="567" w:footer="567" w:gutter="0"/>
          <w:cols w:space="720"/>
          <w:docGrid w:linePitch="245"/>
        </w:sectPr>
      </w:pPr>
    </w:p>
    <w:p w14:paraId="73D3018A" w14:textId="77777777" w:rsidR="00D44C49" w:rsidRPr="0087494E" w:rsidRDefault="00D44C49" w:rsidP="00D44C49">
      <w:pPr>
        <w:pStyle w:val="Heading2"/>
        <w:spacing w:after="120" w:line="240" w:lineRule="auto"/>
        <w:ind w:left="567" w:hanging="567"/>
      </w:pPr>
      <w:bookmarkStart w:id="20" w:name="_Toc136509350"/>
      <w:bookmarkStart w:id="21" w:name="_Toc138088059"/>
      <w:r w:rsidRPr="00174138">
        <w:lastRenderedPageBreak/>
        <w:t>Descrierea politicilor de identificare și prioritizare a principalelor efecte negative ale deciziilor de investiții asupra factorilor de sustenabilitate</w:t>
      </w:r>
      <w:bookmarkEnd w:id="20"/>
      <w:bookmarkEnd w:id="21"/>
    </w:p>
    <w:bookmarkEnd w:id="9"/>
    <w:bookmarkEnd w:id="10"/>
    <w:bookmarkEnd w:id="11"/>
    <w:p w14:paraId="6F1327E3" w14:textId="77777777" w:rsidR="00956E8A" w:rsidRPr="0087494E" w:rsidRDefault="00956E8A" w:rsidP="00F2758B">
      <w:pPr>
        <w:spacing w:before="120" w:after="120" w:line="240" w:lineRule="auto"/>
        <w:contextualSpacing w:val="0"/>
        <w:jc w:val="both"/>
      </w:pPr>
    </w:p>
    <w:p w14:paraId="30D838FC" w14:textId="249CBA64" w:rsidR="0092620B" w:rsidRPr="0087494E" w:rsidRDefault="0092620B" w:rsidP="00BF763B">
      <w:pPr>
        <w:suppressAutoHyphens w:val="0"/>
        <w:autoSpaceDN/>
        <w:spacing w:before="0" w:after="120" w:line="276" w:lineRule="auto"/>
        <w:contextualSpacing w:val="0"/>
        <w:jc w:val="both"/>
        <w:rPr>
          <w:rFonts w:cs="Arial"/>
          <w:b/>
          <w:color w:val="auto"/>
          <w:szCs w:val="18"/>
        </w:rPr>
      </w:pPr>
      <w:r w:rsidRPr="00174138">
        <w:rPr>
          <w:rFonts w:eastAsia="Arial Regular" w:cs="Arial"/>
          <w:b/>
          <w:color w:val="auto"/>
          <w:szCs w:val="18"/>
        </w:rPr>
        <w:t>Politici de identificare și prioritizare a principalelor efecte negative asupra factorilor de sustenabilitate.</w:t>
      </w:r>
    </w:p>
    <w:p w14:paraId="30A34FC3" w14:textId="759B4BBC" w:rsidR="00451993" w:rsidRPr="0087494E" w:rsidRDefault="00451993" w:rsidP="00DF1BBF">
      <w:pPr>
        <w:spacing w:before="0" w:after="120" w:line="276" w:lineRule="auto"/>
        <w:contextualSpacing w:val="0"/>
        <w:jc w:val="both"/>
        <w:rPr>
          <w:rFonts w:cs="Arial"/>
          <w:color w:val="auto"/>
        </w:rPr>
      </w:pPr>
      <w:r w:rsidRPr="00174138">
        <w:rPr>
          <w:rFonts w:cs="Arial"/>
          <w:color w:val="auto"/>
        </w:rPr>
        <w:t xml:space="preserve">Sustenabilitatea este </w:t>
      </w:r>
      <w:r w:rsidR="00827301">
        <w:rPr>
          <w:rFonts w:cs="Arial"/>
          <w:color w:val="auto"/>
        </w:rPr>
        <w:t xml:space="preserve">un fundament </w:t>
      </w:r>
      <w:r w:rsidRPr="00174138">
        <w:rPr>
          <w:rFonts w:cs="Arial"/>
          <w:color w:val="auto"/>
        </w:rPr>
        <w:t>al strategiei Generali, Grupul își propune să aibă un impact social și de mediu pozitiv asupra părților interesate prin integrarea sustenabilității în activitatea și procesele de bază.</w:t>
      </w:r>
    </w:p>
    <w:p w14:paraId="79E507D6" w14:textId="2BFC259E" w:rsidR="00451993" w:rsidRPr="0087494E" w:rsidRDefault="00451993" w:rsidP="00DF1BBF">
      <w:pPr>
        <w:spacing w:before="0" w:after="120" w:line="276" w:lineRule="auto"/>
        <w:contextualSpacing w:val="0"/>
        <w:jc w:val="both"/>
        <w:rPr>
          <w:rFonts w:cs="Arial"/>
          <w:color w:val="auto"/>
        </w:rPr>
      </w:pPr>
      <w:r w:rsidRPr="00174138">
        <w:rPr>
          <w:rFonts w:cs="Arial"/>
          <w:color w:val="auto"/>
        </w:rPr>
        <w:t xml:space="preserve">Pentru a asigura implementarea deplină a strategiei sale de sustenabilitate, Grupul efectuează periodic o evaluare a semnificației pentru a identifica factorii relevanți de sustenabilitate care pot influența semnificativ crearea de valoare a Grupului (perspectivă financiară) și/sau pot genera un impact semnificativ asupra oamenilor sau mediului (perspectivă de impact). Factorii de sustenabilitate identificați sunt propuși ca factori cheie pentru strategia de afaceri și de sustenabilitate a Grupului. </w:t>
      </w:r>
    </w:p>
    <w:p w14:paraId="6E553D28" w14:textId="190D4828" w:rsidR="00E07BB2" w:rsidRPr="0087494E" w:rsidRDefault="0085501D" w:rsidP="00DF1BBF">
      <w:pPr>
        <w:spacing w:before="0" w:after="120" w:line="276" w:lineRule="auto"/>
        <w:contextualSpacing w:val="0"/>
        <w:jc w:val="both"/>
        <w:rPr>
          <w:rFonts w:cs="Arial"/>
          <w:color w:val="auto"/>
        </w:rPr>
      </w:pPr>
      <w:r w:rsidRPr="00174138">
        <w:rPr>
          <w:rFonts w:cs="Arial"/>
          <w:color w:val="auto"/>
        </w:rPr>
        <w:t xml:space="preserve">Investițiile companiilor de asigurări de grup joacă un rol central în modelarea și implementarea strategiei Grupului, inclusiv în obiectivele specifice de sustenabilitate. </w:t>
      </w:r>
    </w:p>
    <w:p w14:paraId="7E1DD0E2" w14:textId="4800E9ED" w:rsidR="00F92BE6" w:rsidRPr="00174138" w:rsidRDefault="0085501D" w:rsidP="00DF1BBF">
      <w:pPr>
        <w:spacing w:before="0" w:after="120" w:line="276" w:lineRule="auto"/>
        <w:contextualSpacing w:val="0"/>
        <w:jc w:val="both"/>
        <w:rPr>
          <w:rFonts w:cs="Arial"/>
          <w:color w:val="auto"/>
          <w:szCs w:val="18"/>
          <w:lang w:val="en-US"/>
        </w:rPr>
      </w:pPr>
      <w:r w:rsidRPr="00174138">
        <w:rPr>
          <w:rFonts w:cs="Arial"/>
          <w:color w:val="auto"/>
          <w:szCs w:val="18"/>
        </w:rPr>
        <w:t>În această măsură, Grupul:</w:t>
      </w:r>
    </w:p>
    <w:p w14:paraId="2193A35C" w14:textId="72FFE456" w:rsidR="00700560" w:rsidRPr="0087494E" w:rsidRDefault="00700560" w:rsidP="0027780C">
      <w:pPr>
        <w:numPr>
          <w:ilvl w:val="0"/>
          <w:numId w:val="14"/>
        </w:numPr>
        <w:tabs>
          <w:tab w:val="left" w:pos="3138"/>
        </w:tabs>
        <w:suppressAutoHyphens w:val="0"/>
        <w:autoSpaceDN/>
        <w:spacing w:before="0" w:after="120" w:line="276" w:lineRule="auto"/>
        <w:contextualSpacing w:val="0"/>
        <w:jc w:val="both"/>
        <w:rPr>
          <w:rFonts w:cs="Arial"/>
          <w:noProof/>
        </w:rPr>
      </w:pPr>
      <w:r w:rsidRPr="00174138">
        <w:rPr>
          <w:rFonts w:cs="Arial"/>
          <w:noProof/>
        </w:rPr>
        <w:t>ia în considerare și încorporează în mod corespunzător în strategia de investiții factorii relevanți de durabilitate</w:t>
      </w:r>
      <w:r w:rsidR="00F81EDF" w:rsidRPr="00174138">
        <w:rPr>
          <w:noProof/>
          <w:vertAlign w:val="superscript"/>
        </w:rPr>
        <w:footnoteReference w:id="8"/>
      </w:r>
      <w:r w:rsidRPr="00174138">
        <w:rPr>
          <w:rFonts w:cs="Arial"/>
          <w:noProof/>
        </w:rPr>
        <w:t>:</w:t>
      </w:r>
    </w:p>
    <w:p w14:paraId="37EEBDCA" w14:textId="2BA743AE" w:rsidR="00700560" w:rsidRPr="0087494E" w:rsidRDefault="00700560"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care au fost identificate ca fiind semnificative pentru strategia Grupului în conformitate cu evaluarea semnificației.</w:t>
      </w:r>
    </w:p>
    <w:p w14:paraId="5CF3BF27" w14:textId="3EF97B47" w:rsidR="00700560" w:rsidRPr="0087494E" w:rsidRDefault="00700560"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care pot expune Grupul la riscuri semnificative de sustenabilitate</w:t>
      </w:r>
      <w:r w:rsidR="00EB5EB9" w:rsidRPr="00174138">
        <w:rPr>
          <w:rStyle w:val="FootnoteReference"/>
          <w:rFonts w:eastAsia="Arial Regular" w:cs="Arial"/>
          <w:szCs w:val="18"/>
          <w:lang w:eastAsia="en-US"/>
        </w:rPr>
        <w:footnoteReference w:id="9"/>
      </w:r>
      <w:r w:rsidRPr="00174138">
        <w:rPr>
          <w:rFonts w:eastAsia="Arial Regular" w:cs="Arial"/>
          <w:szCs w:val="18"/>
          <w:lang w:eastAsia="en-US"/>
        </w:rPr>
        <w:t>;</w:t>
      </w:r>
    </w:p>
    <w:p w14:paraId="0DF93408" w14:textId="4ADC4147" w:rsidR="00700560" w:rsidRPr="0087494E" w:rsidRDefault="00700560"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 xml:space="preserve">pentru care Grupul s-a angajat să gestioneze potențialele impacturi negative generate de deciziile sale de investiții. </w:t>
      </w:r>
    </w:p>
    <w:p w14:paraId="2C4DC9DC" w14:textId="7EC11D2D" w:rsidR="00700560" w:rsidRPr="0087494E" w:rsidRDefault="00700560"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stimularea oportunităților de investiții prin integrarea obiectivelor specifice de investiții durabile cu obiectivele și țintele financiare.</w:t>
      </w:r>
    </w:p>
    <w:p w14:paraId="3F45C42E" w14:textId="3753FA16" w:rsidR="00700560" w:rsidRPr="0087494E" w:rsidRDefault="00700560" w:rsidP="0027780C">
      <w:pPr>
        <w:numPr>
          <w:ilvl w:val="0"/>
          <w:numId w:val="14"/>
        </w:numPr>
        <w:tabs>
          <w:tab w:val="left" w:pos="3138"/>
        </w:tabs>
        <w:suppressAutoHyphens w:val="0"/>
        <w:autoSpaceDN/>
        <w:spacing w:before="0" w:after="120" w:line="276" w:lineRule="auto"/>
        <w:contextualSpacing w:val="0"/>
        <w:jc w:val="both"/>
        <w:rPr>
          <w:rFonts w:cs="Arial"/>
          <w:noProof/>
        </w:rPr>
      </w:pPr>
      <w:r w:rsidRPr="00174138">
        <w:rPr>
          <w:rFonts w:cs="Arial"/>
          <w:noProof/>
        </w:rPr>
        <w:t>a definit un cadru pentru integrarea factorilor de sustenabilitate menționați mai sus în investiții (denumit în continuare "Cadrul") care, prin implementarea unor abordări specifice de încorporare ESG, permite companiilor de asigurări ale grupului să gestioneze principalele efecte negative aferente (pentru indicatorii PAI prioritizați, vă rugăm să consultați paragraful 2.5).</w:t>
      </w:r>
    </w:p>
    <w:p w14:paraId="156A06B7" w14:textId="4FE4D445" w:rsidR="00AA5140" w:rsidRPr="0087494E" w:rsidRDefault="0092620B" w:rsidP="00DF1BBF">
      <w:pPr>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Cadrul a fost formalizat intern prin Sistemul</w:t>
      </w:r>
      <w:r w:rsidR="00051C78">
        <w:rPr>
          <w:rFonts w:eastAsia="Arial Regular" w:cs="Arial"/>
          <w:szCs w:val="18"/>
          <w:lang w:eastAsia="en-US"/>
        </w:rPr>
        <w:t xml:space="preserve"> </w:t>
      </w:r>
      <w:r w:rsidR="00FC37EF">
        <w:rPr>
          <w:rFonts w:eastAsia="Arial Regular" w:cs="Arial"/>
          <w:szCs w:val="18"/>
          <w:lang w:eastAsia="en-US"/>
        </w:rPr>
        <w:t>General de Guvernare</w:t>
      </w:r>
      <w:r w:rsidR="004B7FA4">
        <w:rPr>
          <w:rFonts w:eastAsia="Arial Regular" w:cs="Arial"/>
          <w:szCs w:val="18"/>
          <w:lang w:eastAsia="en-US"/>
        </w:rPr>
        <w:t>:</w:t>
      </w:r>
    </w:p>
    <w:p w14:paraId="14409907" w14:textId="6E287C31" w:rsidR="0092620B" w:rsidRPr="0087494E" w:rsidRDefault="0092620B" w:rsidP="00DF1BBF">
      <w:pPr>
        <w:autoSpaceDN/>
        <w:spacing w:before="0" w:after="120" w:line="276" w:lineRule="auto"/>
        <w:contextualSpacing w:val="0"/>
        <w:jc w:val="both"/>
        <w:rPr>
          <w:rFonts w:eastAsia="Arial Regular" w:cs="Arial"/>
          <w:szCs w:val="18"/>
          <w:u w:val="single"/>
          <w:lang w:eastAsia="en-US"/>
        </w:rPr>
      </w:pPr>
      <w:r w:rsidRPr="00174138">
        <w:rPr>
          <w:rFonts w:eastAsia="Arial Regular" w:cs="Arial"/>
          <w:szCs w:val="18"/>
          <w:u w:val="single"/>
          <w:lang w:eastAsia="en-US"/>
        </w:rPr>
        <w:t>Guvernare</w:t>
      </w:r>
    </w:p>
    <w:p w14:paraId="0D3B57F2" w14:textId="77777777" w:rsidR="0092620B" w:rsidRPr="0087494E" w:rsidRDefault="0092620B" w:rsidP="00DF1BBF">
      <w:pPr>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Grupul a stabilit o guvernanță integrată care pătrunde în toate nivelurile organizaționale pentru a asigura definirea, implementarea și monitorizarea cadrului.</w:t>
      </w:r>
    </w:p>
    <w:p w14:paraId="0AE6B672" w14:textId="56FF19E0" w:rsidR="00736F2A" w:rsidRPr="0087494E" w:rsidRDefault="0092620B" w:rsidP="0027780C">
      <w:pPr>
        <w:numPr>
          <w:ilvl w:val="0"/>
          <w:numId w:val="14"/>
        </w:numPr>
        <w:suppressAutoHyphens w:val="0"/>
        <w:autoSpaceDN/>
        <w:spacing w:before="0" w:after="120" w:line="276" w:lineRule="auto"/>
        <w:contextualSpacing w:val="0"/>
        <w:jc w:val="both"/>
        <w:rPr>
          <w:rFonts w:eastAsia="Arial Regular" w:cs="Arial"/>
          <w:szCs w:val="18"/>
          <w:lang w:eastAsia="en-US"/>
        </w:rPr>
      </w:pPr>
      <w:r w:rsidRPr="00174138">
        <w:rPr>
          <w:rFonts w:eastAsia="Arial Regular" w:cs="Arial"/>
          <w:szCs w:val="18"/>
          <w:lang w:eastAsia="en-US"/>
        </w:rPr>
        <w:t xml:space="preserve"> </w:t>
      </w:r>
      <w:r w:rsidRPr="00174138">
        <w:rPr>
          <w:rFonts w:eastAsia="Arial Regular" w:cs="Arial"/>
          <w:b/>
          <w:bCs/>
          <w:szCs w:val="18"/>
          <w:lang w:eastAsia="en-US"/>
        </w:rPr>
        <w:t>Consiliul de Administrație</w:t>
      </w:r>
      <w:r w:rsidRPr="00174138">
        <w:rPr>
          <w:rFonts w:eastAsia="Arial Regular" w:cs="Arial"/>
          <w:szCs w:val="18"/>
          <w:lang w:eastAsia="en-US"/>
        </w:rPr>
        <w:t xml:space="preserve"> a aprobat:</w:t>
      </w:r>
    </w:p>
    <w:p w14:paraId="524554FF" w14:textId="5CDE39A9" w:rsidR="00610D7C" w:rsidRPr="0087494E" w:rsidRDefault="00CD7796"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Pr>
          <w:rFonts w:eastAsia="Arial Regular" w:cs="Arial"/>
          <w:szCs w:val="18"/>
          <w:lang w:eastAsia="en-US"/>
        </w:rPr>
        <w:t xml:space="preserve"> în decembrie 2024</w:t>
      </w:r>
      <w:r w:rsidR="00610D7C" w:rsidRPr="00174138">
        <w:rPr>
          <w:rFonts w:eastAsia="Arial Regular" w:cs="Arial"/>
          <w:szCs w:val="18"/>
          <w:lang w:eastAsia="en-US"/>
        </w:rPr>
        <w:t>Politica Grupului de Sustenabilitate, definind cadrul de identificare, evaluare și gestionare a riscurilor și oportunităților legate de factorii de mediu, sociali și de guvernanță ("factori ESG") în coerență cu obiectivul său de a promova dezvoltarea durabilă a activităților de afaceri și de a genera valoare durabilă în timp.</w:t>
      </w:r>
    </w:p>
    <w:p w14:paraId="38A98D72" w14:textId="44E27023" w:rsidR="0092620B" w:rsidRPr="0087494E" w:rsidRDefault="00DD4BD5" w:rsidP="0027780C">
      <w:pPr>
        <w:numPr>
          <w:ilvl w:val="1"/>
          <w:numId w:val="14"/>
        </w:numPr>
        <w:suppressAutoHyphens w:val="0"/>
        <w:autoSpaceDN/>
        <w:spacing w:before="0" w:after="120" w:line="276" w:lineRule="auto"/>
        <w:contextualSpacing w:val="0"/>
        <w:jc w:val="both"/>
        <w:rPr>
          <w:rFonts w:eastAsia="Arial Regular" w:cs="Arial"/>
          <w:szCs w:val="18"/>
          <w:lang w:eastAsia="en-US"/>
        </w:rPr>
      </w:pPr>
      <w:r>
        <w:rPr>
          <w:rFonts w:eastAsia="Arial Regular" w:cs="Arial"/>
          <w:szCs w:val="18"/>
          <w:lang w:eastAsia="en-US"/>
        </w:rPr>
        <w:t xml:space="preserve"> în aprilie 2025 </w:t>
      </w:r>
      <w:r w:rsidR="0092620B" w:rsidRPr="00174138">
        <w:rPr>
          <w:rFonts w:eastAsia="Arial Regular" w:cs="Arial"/>
          <w:szCs w:val="18"/>
          <w:lang w:eastAsia="en-US"/>
        </w:rPr>
        <w:t xml:space="preserve">, Politica Grupului de Guvernanță a Investițiilor, care definește principiile de integrare proactivă a factorilor de sustenabilitate în procesul de investiții în toate clasele de active, sprijinind obținerea atât a randamentelor financiare, cât și a binelui social. </w:t>
      </w:r>
    </w:p>
    <w:p w14:paraId="5BA42089" w14:textId="7234C776" w:rsidR="0092620B" w:rsidRPr="0087494E" w:rsidRDefault="0092620B" w:rsidP="0027780C">
      <w:pPr>
        <w:numPr>
          <w:ilvl w:val="0"/>
          <w:numId w:val="14"/>
        </w:numPr>
        <w:suppressAutoHyphens w:val="0"/>
        <w:autoSpaceDN/>
        <w:spacing w:before="0" w:after="120" w:line="276" w:lineRule="auto"/>
        <w:contextualSpacing w:val="0"/>
        <w:jc w:val="both"/>
        <w:rPr>
          <w:rFonts w:eastAsia="Arial Regular" w:cs="Arial"/>
          <w:szCs w:val="18"/>
          <w:lang w:eastAsia="en-US"/>
        </w:rPr>
      </w:pPr>
      <w:r w:rsidRPr="0087494E">
        <w:rPr>
          <w:rFonts w:eastAsia="Arial Regular" w:cs="Arial"/>
          <w:szCs w:val="18"/>
          <w:lang w:eastAsia="en-US"/>
        </w:rPr>
        <w:lastRenderedPageBreak/>
        <w:t xml:space="preserve">CEO-ul </w:t>
      </w:r>
      <w:r w:rsidRPr="0087494E">
        <w:rPr>
          <w:rFonts w:eastAsia="Arial Regular" w:cs="Arial"/>
          <w:b/>
          <w:bCs/>
          <w:szCs w:val="18"/>
          <w:lang w:eastAsia="en-US"/>
        </w:rPr>
        <w:t>Grupului</w:t>
      </w:r>
      <w:r w:rsidRPr="0087494E">
        <w:rPr>
          <w:rFonts w:eastAsia="Arial Regular" w:cs="Arial"/>
          <w:szCs w:val="18"/>
          <w:lang w:eastAsia="en-US"/>
        </w:rPr>
        <w:t xml:space="preserve"> a aprobat </w:t>
      </w:r>
      <w:r w:rsidR="004E3FDC" w:rsidRPr="0087494E">
        <w:rPr>
          <w:rFonts w:eastAsia="Arial Regular" w:cs="Arial"/>
          <w:szCs w:val="18"/>
          <w:lang w:eastAsia="en-US"/>
        </w:rPr>
        <w:t>Ghidul</w:t>
      </w:r>
      <w:r w:rsidRPr="0087494E">
        <w:rPr>
          <w:rFonts w:eastAsia="Arial Regular" w:cs="Arial"/>
          <w:szCs w:val="18"/>
          <w:lang w:eastAsia="en-US"/>
        </w:rPr>
        <w:t xml:space="preserve"> Grupului de Integrare a Sustenabilității în Investiții și Acționariat Activ, formalizând Cadrul (toate abordările metodologice, obiectivele și țintele pentru integrarea sustenabilității în investiții) definit de </w:t>
      </w:r>
      <w:r w:rsidRPr="0087494E">
        <w:rPr>
          <w:rFonts w:eastAsia="Arial Regular" w:cs="Arial"/>
          <w:b/>
          <w:bCs/>
          <w:szCs w:val="18"/>
          <w:lang w:eastAsia="en-US"/>
        </w:rPr>
        <w:t>Directorul General</w:t>
      </w:r>
      <w:r w:rsidRPr="0087494E">
        <w:rPr>
          <w:rFonts w:eastAsia="Arial Regular" w:cs="Arial"/>
          <w:szCs w:val="18"/>
          <w:lang w:eastAsia="en-US"/>
        </w:rPr>
        <w:t>.</w:t>
      </w:r>
    </w:p>
    <w:p w14:paraId="4281049B" w14:textId="7C120BE6" w:rsidR="0092620B" w:rsidRPr="0087494E" w:rsidRDefault="0092620B" w:rsidP="0027780C">
      <w:pPr>
        <w:numPr>
          <w:ilvl w:val="0"/>
          <w:numId w:val="14"/>
        </w:numPr>
        <w:suppressAutoHyphens w:val="0"/>
        <w:autoSpaceDN/>
        <w:spacing w:before="0" w:after="120" w:line="276" w:lineRule="auto"/>
        <w:contextualSpacing w:val="0"/>
        <w:jc w:val="both"/>
        <w:rPr>
          <w:rFonts w:cs="Arial"/>
          <w:szCs w:val="18"/>
        </w:rPr>
      </w:pPr>
      <w:r w:rsidRPr="0087494E">
        <w:rPr>
          <w:rFonts w:cs="Arial"/>
          <w:szCs w:val="18"/>
        </w:rPr>
        <w:t xml:space="preserve">Comitetul </w:t>
      </w:r>
      <w:r w:rsidRPr="0087494E">
        <w:rPr>
          <w:rFonts w:cs="Arial"/>
          <w:b/>
          <w:bCs/>
          <w:szCs w:val="18"/>
        </w:rPr>
        <w:t xml:space="preserve"> pentru Investiții Responsabile al Grupului</w:t>
      </w:r>
      <w:r w:rsidRPr="0087494E">
        <w:rPr>
          <w:rFonts w:cs="Arial"/>
          <w:szCs w:val="18"/>
        </w:rPr>
        <w:t xml:space="preserve"> (Group Chief Investment Officer, Group Chief Risk Officer, Head of Group Chief Sustainability Officer, Group Chief Financial Officer), înființat la nivelul Sediului General al Grupului, are un rol consultativ față de Directorul General cu privire la deciziile privind liniile directoare, obiectivul și ținta legate de Cadru și supravegherea implementării acestora.</w:t>
      </w:r>
    </w:p>
    <w:p w14:paraId="6A9A8A2B" w14:textId="77777777" w:rsidR="0092620B" w:rsidRPr="0087494E" w:rsidRDefault="0092620B" w:rsidP="0027780C">
      <w:pPr>
        <w:numPr>
          <w:ilvl w:val="0"/>
          <w:numId w:val="14"/>
        </w:numPr>
        <w:tabs>
          <w:tab w:val="left" w:pos="3138"/>
        </w:tabs>
        <w:suppressAutoHyphens w:val="0"/>
        <w:autoSpaceDN/>
        <w:spacing w:before="0" w:after="120" w:line="276" w:lineRule="auto"/>
        <w:contextualSpacing w:val="0"/>
        <w:jc w:val="both"/>
        <w:rPr>
          <w:rFonts w:cs="Arial"/>
          <w:noProof/>
        </w:rPr>
      </w:pPr>
      <w:r w:rsidRPr="0087494E">
        <w:rPr>
          <w:rFonts w:cs="Arial"/>
          <w:color w:val="auto"/>
          <w:szCs w:val="18"/>
        </w:rPr>
        <w:t xml:space="preserve"> </w:t>
      </w:r>
      <w:r w:rsidRPr="00174138">
        <w:rPr>
          <w:rFonts w:cs="Arial"/>
          <w:b/>
          <w:bCs/>
          <w:szCs w:val="18"/>
        </w:rPr>
        <w:t xml:space="preserve">Directorul de investiții al grupului </w:t>
      </w:r>
      <w:r w:rsidRPr="00174138">
        <w:rPr>
          <w:rFonts w:cs="Arial"/>
          <w:noProof/>
        </w:rPr>
        <w:t>este responsabil pentru implementarea cadrului în conformitate cu obiectivele și țintele definite de directorul general și pentru supravegherea acestuia.</w:t>
      </w:r>
    </w:p>
    <w:p w14:paraId="45B387FC" w14:textId="013B51CA" w:rsidR="0092620B" w:rsidRPr="0087494E" w:rsidRDefault="0092620B" w:rsidP="0027780C">
      <w:pPr>
        <w:numPr>
          <w:ilvl w:val="0"/>
          <w:numId w:val="14"/>
        </w:numPr>
        <w:tabs>
          <w:tab w:val="left" w:pos="3138"/>
        </w:tabs>
        <w:suppressAutoHyphens w:val="0"/>
        <w:autoSpaceDN/>
        <w:spacing w:before="0" w:after="120" w:line="276" w:lineRule="auto"/>
        <w:contextualSpacing w:val="0"/>
        <w:jc w:val="both"/>
        <w:rPr>
          <w:rFonts w:cs="Arial"/>
          <w:color w:val="auto"/>
          <w:szCs w:val="18"/>
        </w:rPr>
      </w:pPr>
      <w:r w:rsidRPr="00174138">
        <w:rPr>
          <w:rFonts w:cs="Arial"/>
          <w:noProof/>
        </w:rPr>
        <w:t xml:space="preserve">La nivel de entitate juridică, fiecare </w:t>
      </w:r>
      <w:r w:rsidR="009B7FB1" w:rsidRPr="00174138">
        <w:rPr>
          <w:rFonts w:cs="Arial"/>
          <w:b/>
          <w:bCs/>
          <w:noProof/>
        </w:rPr>
        <w:t xml:space="preserve"> director local</w:t>
      </w:r>
      <w:r w:rsidR="005F5617">
        <w:rPr>
          <w:rFonts w:cs="Arial"/>
          <w:b/>
          <w:bCs/>
          <w:noProof/>
        </w:rPr>
        <w:t xml:space="preserve"> </w:t>
      </w:r>
      <w:r w:rsidRPr="00174138">
        <w:rPr>
          <w:rFonts w:cs="Arial"/>
          <w:b/>
          <w:bCs/>
          <w:szCs w:val="18"/>
        </w:rPr>
        <w:t xml:space="preserve"> de investiții</w:t>
      </w:r>
      <w:r w:rsidRPr="00174138">
        <w:rPr>
          <w:rFonts w:cs="Arial"/>
          <w:noProof/>
        </w:rPr>
        <w:t xml:space="preserve"> este responsabil pentru punerea în aplicare a cadrului și pentru transpunerea acestuia în acordurile de mandat de investiții cu administratorii de active delegați.</w:t>
      </w:r>
    </w:p>
    <w:p w14:paraId="1374ABC3" w14:textId="77777777" w:rsidR="0092620B" w:rsidRPr="0087494E" w:rsidRDefault="0092620B" w:rsidP="00DF1BBF">
      <w:pPr>
        <w:tabs>
          <w:tab w:val="left" w:pos="3138"/>
        </w:tabs>
        <w:suppressAutoHyphens w:val="0"/>
        <w:autoSpaceDN/>
        <w:spacing w:before="0" w:after="120" w:line="276" w:lineRule="auto"/>
        <w:contextualSpacing w:val="0"/>
        <w:jc w:val="both"/>
        <w:rPr>
          <w:rFonts w:cs="Arial"/>
          <w:color w:val="auto"/>
          <w:szCs w:val="18"/>
        </w:rPr>
      </w:pPr>
    </w:p>
    <w:p w14:paraId="7DEE09D0" w14:textId="1F5F0CB8" w:rsidR="0092620B" w:rsidRPr="0087494E" w:rsidRDefault="0092620B" w:rsidP="00DF1BBF">
      <w:pPr>
        <w:suppressAutoHyphens w:val="0"/>
        <w:autoSpaceDN/>
        <w:spacing w:before="0" w:after="120" w:line="276" w:lineRule="auto"/>
        <w:contextualSpacing w:val="0"/>
        <w:jc w:val="both"/>
        <w:rPr>
          <w:rFonts w:cs="Arial"/>
          <w:szCs w:val="18"/>
          <w:u w:val="single"/>
        </w:rPr>
      </w:pPr>
      <w:r w:rsidRPr="00174138">
        <w:rPr>
          <w:rFonts w:cs="Arial"/>
          <w:szCs w:val="18"/>
          <w:u w:val="single"/>
        </w:rPr>
        <w:t xml:space="preserve">Cadrul pentru </w:t>
      </w:r>
      <w:r w:rsidR="0000263F">
        <w:rPr>
          <w:rFonts w:cs="Arial"/>
          <w:szCs w:val="18"/>
          <w:u w:val="single"/>
        </w:rPr>
        <w:t xml:space="preserve">investițiile Contului </w:t>
      </w:r>
      <w:r w:rsidR="00C22E06">
        <w:rPr>
          <w:rFonts w:cs="Arial"/>
          <w:szCs w:val="18"/>
          <w:u w:val="single"/>
        </w:rPr>
        <w:t xml:space="preserve">General  </w:t>
      </w:r>
      <w:r w:rsidRPr="00174138">
        <w:rPr>
          <w:rFonts w:cs="Arial"/>
          <w:szCs w:val="18"/>
          <w:u w:val="single"/>
        </w:rPr>
        <w:t>:</w:t>
      </w:r>
    </w:p>
    <w:p w14:paraId="2FFB76AF" w14:textId="217D6AF0" w:rsidR="0092620B" w:rsidRPr="0087494E" w:rsidRDefault="0092620B" w:rsidP="00DF1BBF">
      <w:pPr>
        <w:suppressAutoHyphens w:val="0"/>
        <w:autoSpaceDN/>
        <w:spacing w:before="0" w:after="120" w:line="276" w:lineRule="auto"/>
        <w:contextualSpacing w:val="0"/>
        <w:jc w:val="both"/>
        <w:rPr>
          <w:rFonts w:cs="Arial"/>
          <w:szCs w:val="18"/>
        </w:rPr>
      </w:pPr>
      <w:r w:rsidRPr="00174138">
        <w:rPr>
          <w:rFonts w:cs="Arial"/>
          <w:szCs w:val="18"/>
        </w:rPr>
        <w:t xml:space="preserve">Cadrul pentru principalele </w:t>
      </w:r>
      <w:r w:rsidR="00D37790" w:rsidRPr="00174138">
        <w:rPr>
          <w:rFonts w:cs="Arial"/>
          <w:color w:val="auto"/>
        </w:rPr>
        <w:t xml:space="preserve">efecte negative </w:t>
      </w:r>
      <w:r w:rsidR="0080510B" w:rsidRPr="00174138">
        <w:rPr>
          <w:rFonts w:cs="Arial"/>
          <w:szCs w:val="18"/>
        </w:rPr>
        <w:t>legate de investițiile directe prevede următoarele abordări care urmează să fie aplicate în mod autonom sau în combinație, pe baza diferitelor portofolii și clase de active gestionate:</w:t>
      </w:r>
    </w:p>
    <w:p w14:paraId="5D04F6CE" w14:textId="77777777" w:rsidR="0092620B" w:rsidRPr="00174138" w:rsidRDefault="0092620B" w:rsidP="0027780C">
      <w:pPr>
        <w:numPr>
          <w:ilvl w:val="0"/>
          <w:numId w:val="16"/>
        </w:numPr>
        <w:suppressAutoHyphens w:val="0"/>
        <w:autoSpaceDN/>
        <w:spacing w:before="0" w:after="120" w:line="276" w:lineRule="auto"/>
        <w:contextualSpacing w:val="0"/>
        <w:jc w:val="both"/>
        <w:rPr>
          <w:rFonts w:cs="Arial"/>
          <w:noProof/>
          <w:lang w:val="en-US"/>
        </w:rPr>
      </w:pPr>
      <w:r w:rsidRPr="00174138">
        <w:rPr>
          <w:rFonts w:cs="Arial"/>
          <w:noProof/>
        </w:rPr>
        <w:t xml:space="preserve">screening negativ; </w:t>
      </w:r>
    </w:p>
    <w:p w14:paraId="227D37DF" w14:textId="77777777" w:rsidR="0092620B" w:rsidRPr="00174138" w:rsidRDefault="0092620B" w:rsidP="0027780C">
      <w:pPr>
        <w:numPr>
          <w:ilvl w:val="0"/>
          <w:numId w:val="16"/>
        </w:numPr>
        <w:suppressAutoHyphens w:val="0"/>
        <w:autoSpaceDN/>
        <w:spacing w:before="0" w:after="120" w:line="276" w:lineRule="auto"/>
        <w:contextualSpacing w:val="0"/>
        <w:jc w:val="both"/>
        <w:rPr>
          <w:rFonts w:cs="Arial"/>
          <w:noProof/>
          <w:lang w:val="en-US"/>
        </w:rPr>
      </w:pPr>
      <w:r w:rsidRPr="00174138">
        <w:rPr>
          <w:rFonts w:cs="Arial"/>
          <w:noProof/>
        </w:rPr>
        <w:t>screening pozitiv;</w:t>
      </w:r>
    </w:p>
    <w:p w14:paraId="38D5233B" w14:textId="77777777" w:rsidR="0092620B" w:rsidRPr="00174138" w:rsidRDefault="0092620B" w:rsidP="0027780C">
      <w:pPr>
        <w:numPr>
          <w:ilvl w:val="0"/>
          <w:numId w:val="16"/>
        </w:numPr>
        <w:suppressAutoHyphens w:val="0"/>
        <w:autoSpaceDN/>
        <w:spacing w:before="0" w:after="120" w:line="276" w:lineRule="auto"/>
        <w:contextualSpacing w:val="0"/>
        <w:jc w:val="both"/>
        <w:rPr>
          <w:rFonts w:cs="Arial"/>
          <w:noProof/>
          <w:lang w:val="en-US"/>
        </w:rPr>
      </w:pPr>
      <w:r w:rsidRPr="00174138">
        <w:rPr>
          <w:rFonts w:cs="Arial"/>
          <w:noProof/>
        </w:rPr>
        <w:t>integrarea ESG;</w:t>
      </w:r>
    </w:p>
    <w:p w14:paraId="63B55145" w14:textId="77777777" w:rsidR="0092620B" w:rsidRPr="00174138" w:rsidRDefault="0092620B" w:rsidP="0027780C">
      <w:pPr>
        <w:numPr>
          <w:ilvl w:val="0"/>
          <w:numId w:val="16"/>
        </w:numPr>
        <w:suppressAutoHyphens w:val="0"/>
        <w:autoSpaceDN/>
        <w:spacing w:before="0" w:after="120" w:line="276" w:lineRule="auto"/>
        <w:contextualSpacing w:val="0"/>
        <w:jc w:val="both"/>
        <w:rPr>
          <w:rFonts w:cs="Arial"/>
          <w:noProof/>
          <w:lang w:val="en-US"/>
        </w:rPr>
      </w:pPr>
      <w:r w:rsidRPr="00174138">
        <w:rPr>
          <w:rFonts w:cs="Arial"/>
          <w:noProof/>
        </w:rPr>
        <w:t xml:space="preserve">investiții durabile; </w:t>
      </w:r>
    </w:p>
    <w:p w14:paraId="3DFB9ECE" w14:textId="0F01236E" w:rsidR="0092620B" w:rsidRPr="0087494E" w:rsidRDefault="0092620B" w:rsidP="0027780C">
      <w:pPr>
        <w:numPr>
          <w:ilvl w:val="0"/>
          <w:numId w:val="16"/>
        </w:numPr>
        <w:suppressAutoHyphens w:val="0"/>
        <w:autoSpaceDN/>
        <w:spacing w:before="0" w:after="120" w:line="276" w:lineRule="auto"/>
        <w:contextualSpacing w:val="0"/>
        <w:jc w:val="both"/>
        <w:rPr>
          <w:rFonts w:cs="Arial"/>
          <w:noProof/>
        </w:rPr>
      </w:pPr>
      <w:r w:rsidRPr="00174138">
        <w:rPr>
          <w:rFonts w:cs="Arial"/>
          <w:noProof/>
        </w:rPr>
        <w:t xml:space="preserve">proprietate activă (vot prin procură și </w:t>
      </w:r>
      <w:r w:rsidR="009E44D3">
        <w:rPr>
          <w:rFonts w:cs="Arial"/>
          <w:noProof/>
        </w:rPr>
        <w:t>angajament</w:t>
      </w:r>
      <w:r w:rsidRPr="00174138">
        <w:rPr>
          <w:rFonts w:cs="Arial"/>
          <w:noProof/>
        </w:rPr>
        <w:t>).</w:t>
      </w:r>
    </w:p>
    <w:p w14:paraId="475CC6B8" w14:textId="172EB9B6" w:rsidR="0092620B" w:rsidRPr="0087494E" w:rsidRDefault="0092620B" w:rsidP="00DF1BBF">
      <w:pPr>
        <w:suppressAutoHyphens w:val="0"/>
        <w:autoSpaceDN/>
        <w:spacing w:before="0" w:after="120" w:line="276" w:lineRule="auto"/>
        <w:contextualSpacing w:val="0"/>
        <w:jc w:val="both"/>
        <w:rPr>
          <w:rFonts w:cs="Arial"/>
          <w:color w:val="auto"/>
        </w:rPr>
      </w:pPr>
      <w:r w:rsidRPr="00174138">
        <w:rPr>
          <w:rFonts w:cs="Arial"/>
          <w:color w:val="auto"/>
        </w:rPr>
        <w:t xml:space="preserve">1.Grupul identifică și atenuează principalele efecte negative în principal prin aplicarea abordării de examinare negativă. Abordarea de screening negativ vizează excluderea din universul investibil al Grupului a acelor emitenți </w:t>
      </w:r>
      <w:r w:rsidR="003A3849">
        <w:rPr>
          <w:rFonts w:cs="Arial"/>
          <w:color w:val="auto"/>
        </w:rPr>
        <w:t xml:space="preserve"> (atât corporativi, cât și suverani) </w:t>
      </w:r>
      <w:r w:rsidRPr="00174138">
        <w:rPr>
          <w:rFonts w:cs="Arial"/>
          <w:color w:val="auto"/>
        </w:rPr>
        <w:t xml:space="preserve"> cu  practici de </w:t>
      </w:r>
      <w:r w:rsidR="004646E8">
        <w:rPr>
          <w:rFonts w:cs="Arial"/>
          <w:color w:val="auto"/>
        </w:rPr>
        <w:t xml:space="preserve">sustenabilitate </w:t>
      </w:r>
      <w:r w:rsidRPr="00174138">
        <w:rPr>
          <w:rFonts w:cs="Arial"/>
          <w:color w:val="auto"/>
        </w:rPr>
        <w:t xml:space="preserve">slabe sau nealiniate cu </w:t>
      </w:r>
      <w:r w:rsidR="004646E8">
        <w:rPr>
          <w:rFonts w:cs="Arial"/>
          <w:color w:val="auto"/>
        </w:rPr>
        <w:t xml:space="preserve">așteptările </w:t>
      </w:r>
      <w:r w:rsidR="00716E3F">
        <w:rPr>
          <w:rFonts w:cs="Arial"/>
          <w:color w:val="auto"/>
        </w:rPr>
        <w:t xml:space="preserve">și preferințele de sustenabilitate  ale Grupului </w:t>
      </w:r>
      <w:r w:rsidRPr="00174138">
        <w:rPr>
          <w:rFonts w:cs="Arial"/>
          <w:color w:val="auto"/>
        </w:rPr>
        <w:t xml:space="preserve"> , care ar putea avea un impact asupra performanței lor financiare pe termen lung și/sau ar putea expune Grupul la riscuri mai mari de sustenabilitate și reputație. Mai mult, excluderea activităților/sectoarelor/emitenților specifici care au un impact negativ asupra mediului și societății, permite Grupului să reducă și să atenueze impactul negativ asupra factorilor de sustenabilitate.</w:t>
      </w:r>
    </w:p>
    <w:p w14:paraId="4D4053A4" w14:textId="77777777" w:rsidR="0092620B" w:rsidRPr="0087494E" w:rsidRDefault="0092620B" w:rsidP="00DF1BBF">
      <w:pPr>
        <w:suppressAutoHyphens w:val="0"/>
        <w:autoSpaceDN/>
        <w:spacing w:before="0" w:after="120" w:line="276" w:lineRule="auto"/>
        <w:contextualSpacing w:val="0"/>
        <w:jc w:val="both"/>
        <w:rPr>
          <w:rFonts w:cs="Arial"/>
          <w:bCs/>
          <w:color w:val="auto"/>
        </w:rPr>
      </w:pPr>
      <w:r w:rsidRPr="00174138">
        <w:rPr>
          <w:rFonts w:cs="Arial"/>
          <w:bCs/>
          <w:color w:val="auto"/>
        </w:rPr>
        <w:t>Abordarea de examinare negativă are în vedere următoarele tipuri de excludere:</w:t>
      </w:r>
    </w:p>
    <w:p w14:paraId="37D58967" w14:textId="729BCB5D" w:rsidR="0092620B" w:rsidRPr="0087494E" w:rsidRDefault="0092620B" w:rsidP="0027780C">
      <w:pPr>
        <w:numPr>
          <w:ilvl w:val="0"/>
          <w:numId w:val="13"/>
        </w:numPr>
        <w:suppressAutoHyphens w:val="0"/>
        <w:autoSpaceDN/>
        <w:spacing w:before="0" w:after="120" w:line="276" w:lineRule="auto"/>
        <w:contextualSpacing w:val="0"/>
        <w:jc w:val="both"/>
        <w:rPr>
          <w:rFonts w:cs="Arial"/>
          <w:noProof/>
        </w:rPr>
      </w:pPr>
      <w:r w:rsidRPr="00174138">
        <w:rPr>
          <w:rFonts w:cs="Arial"/>
          <w:noProof/>
        </w:rPr>
        <w:t>excluderea controverselor pentru emitenții corporativi și suverani, care ține cont de gravitatea controversei și de impactul asupra societății și mediului;</w:t>
      </w:r>
    </w:p>
    <w:p w14:paraId="1605118F" w14:textId="2F0B981D" w:rsidR="0092620B" w:rsidRPr="0087494E" w:rsidRDefault="0092620B" w:rsidP="0027780C">
      <w:pPr>
        <w:numPr>
          <w:ilvl w:val="0"/>
          <w:numId w:val="13"/>
        </w:numPr>
        <w:suppressAutoHyphens w:val="0"/>
        <w:autoSpaceDN/>
        <w:spacing w:before="0" w:after="120" w:line="276" w:lineRule="auto"/>
        <w:contextualSpacing w:val="0"/>
        <w:jc w:val="both"/>
        <w:rPr>
          <w:rFonts w:cs="Arial"/>
          <w:noProof/>
        </w:rPr>
      </w:pPr>
      <w:r w:rsidRPr="00174138">
        <w:rPr>
          <w:rFonts w:cs="Arial"/>
          <w:noProof/>
        </w:rPr>
        <w:t>excluderea rămășițelor în urmă ESG</w:t>
      </w:r>
      <w:r w:rsidR="001F208B" w:rsidRPr="00174138">
        <w:rPr>
          <w:rStyle w:val="FootnoteReference"/>
          <w:rFonts w:cs="Arial"/>
          <w:noProof/>
        </w:rPr>
        <w:footnoteReference w:id="10"/>
      </w:r>
      <w:r w:rsidR="00136A8E" w:rsidRPr="00174138">
        <w:rPr>
          <w:rFonts w:cs="Arial"/>
          <w:noProof/>
        </w:rPr>
        <w:t xml:space="preserve"> pentru emitenții corporativi și suverani, prin valorificarea ratingului ESG atribuit emitentului pe baza indicatorilor ESG relevanți, inclusiv a oricăror indicatori de impact negativ aplicabili;</w:t>
      </w:r>
    </w:p>
    <w:p w14:paraId="5B7F45F5" w14:textId="0DF76D0E" w:rsidR="0092620B" w:rsidRPr="00174138" w:rsidRDefault="0092620B" w:rsidP="0027780C">
      <w:pPr>
        <w:numPr>
          <w:ilvl w:val="0"/>
          <w:numId w:val="13"/>
        </w:numPr>
        <w:suppressAutoHyphens w:val="0"/>
        <w:autoSpaceDN/>
        <w:spacing w:before="0" w:after="120" w:line="276" w:lineRule="auto"/>
        <w:contextualSpacing w:val="0"/>
        <w:jc w:val="both"/>
        <w:rPr>
          <w:rFonts w:cs="Arial"/>
          <w:noProof/>
          <w:lang w:val="en-US"/>
        </w:rPr>
      </w:pPr>
      <w:r w:rsidRPr="00174138">
        <w:rPr>
          <w:rFonts w:cs="Arial"/>
          <w:noProof/>
        </w:rPr>
        <w:t>Excluderea sectorului și a activităților controversate pentru emitenții corporativi, în special:</w:t>
      </w:r>
    </w:p>
    <w:p w14:paraId="3CABABE2" w14:textId="41193742" w:rsidR="0092620B" w:rsidRPr="0087494E" w:rsidRDefault="00251760" w:rsidP="0027780C">
      <w:pPr>
        <w:numPr>
          <w:ilvl w:val="1"/>
          <w:numId w:val="15"/>
        </w:numPr>
        <w:suppressAutoHyphens w:val="0"/>
        <w:autoSpaceDN/>
        <w:spacing w:before="0" w:after="120" w:line="276" w:lineRule="auto"/>
        <w:ind w:left="1434" w:hanging="357"/>
        <w:contextualSpacing w:val="0"/>
        <w:jc w:val="both"/>
        <w:rPr>
          <w:rFonts w:cs="Arial"/>
        </w:rPr>
      </w:pPr>
      <w:r>
        <w:rPr>
          <w:rFonts w:cs="Arial"/>
        </w:rPr>
        <w:t xml:space="preserve">companii implicate în activitatea </w:t>
      </w:r>
      <w:r w:rsidR="0092620B" w:rsidRPr="00174138">
        <w:rPr>
          <w:rFonts w:cs="Arial"/>
        </w:rPr>
        <w:t xml:space="preserve">cărbunelui </w:t>
      </w:r>
      <w:r w:rsidR="00820C75">
        <w:rPr>
          <w:rFonts w:cs="Arial"/>
        </w:rPr>
        <w:t>termic</w:t>
      </w:r>
      <w:r w:rsidR="00BD5709" w:rsidRPr="00174138">
        <w:rPr>
          <w:rFonts w:cs="Arial"/>
        </w:rPr>
        <w:t>.</w:t>
      </w:r>
    </w:p>
    <w:p w14:paraId="20EDDBD0" w14:textId="54BC9A26" w:rsidR="0092620B" w:rsidRPr="0087494E" w:rsidRDefault="00CA0A62" w:rsidP="0027780C">
      <w:pPr>
        <w:numPr>
          <w:ilvl w:val="1"/>
          <w:numId w:val="15"/>
        </w:numPr>
        <w:suppressAutoHyphens w:val="0"/>
        <w:autoSpaceDN/>
        <w:spacing w:before="0" w:after="120" w:line="276" w:lineRule="auto"/>
        <w:ind w:left="1434" w:hanging="357"/>
        <w:contextualSpacing w:val="0"/>
        <w:jc w:val="both"/>
        <w:rPr>
          <w:rFonts w:cs="Arial"/>
        </w:rPr>
      </w:pPr>
      <w:r>
        <w:rPr>
          <w:rFonts w:cs="Arial"/>
        </w:rPr>
        <w:t xml:space="preserve">companii implicate în </w:t>
      </w:r>
      <w:r w:rsidR="00F23DB9">
        <w:rPr>
          <w:rFonts w:cs="Arial"/>
        </w:rPr>
        <w:t xml:space="preserve">petrol și gaze </w:t>
      </w:r>
      <w:r>
        <w:rPr>
          <w:rFonts w:cs="Arial"/>
        </w:rPr>
        <w:t>(atât convenționale, cât și neconvenționale)</w:t>
      </w:r>
    </w:p>
    <w:p w14:paraId="601684D1" w14:textId="62729565" w:rsidR="0092620B" w:rsidRPr="00174138" w:rsidRDefault="0092620B" w:rsidP="0027780C">
      <w:pPr>
        <w:numPr>
          <w:ilvl w:val="1"/>
          <w:numId w:val="15"/>
        </w:numPr>
        <w:suppressAutoHyphens w:val="0"/>
        <w:autoSpaceDN/>
        <w:spacing w:before="0" w:after="120" w:line="276" w:lineRule="auto"/>
        <w:ind w:left="1434" w:hanging="357"/>
        <w:contextualSpacing w:val="0"/>
        <w:jc w:val="both"/>
        <w:rPr>
          <w:rFonts w:cs="Arial"/>
          <w:lang w:val="en-US"/>
        </w:rPr>
      </w:pPr>
      <w:r w:rsidRPr="00174138">
        <w:rPr>
          <w:rFonts w:cs="Arial"/>
        </w:rPr>
        <w:t>arme neconvenționale .</w:t>
      </w:r>
    </w:p>
    <w:p w14:paraId="15C2137D" w14:textId="2CC823C4" w:rsidR="0092620B" w:rsidRPr="0087494E" w:rsidRDefault="0092620B" w:rsidP="00DF1BBF">
      <w:pPr>
        <w:suppressAutoHyphens w:val="0"/>
        <w:autoSpaceDN/>
        <w:spacing w:before="0" w:after="120" w:line="276" w:lineRule="auto"/>
        <w:contextualSpacing w:val="0"/>
        <w:jc w:val="both"/>
        <w:rPr>
          <w:rFonts w:cs="Arial"/>
          <w:iCs/>
        </w:rPr>
      </w:pPr>
      <w:r w:rsidRPr="00174138">
        <w:rPr>
          <w:rFonts w:cs="Arial"/>
          <w:iCs/>
        </w:rPr>
        <w:t xml:space="preserve">Ca niveluri suplimentare pentru a atenua principalele efecte negative, Grupul a definit următoarele abordări:  </w:t>
      </w:r>
    </w:p>
    <w:p w14:paraId="64EC200A" w14:textId="77777777" w:rsidR="00C17382" w:rsidRDefault="009A7319" w:rsidP="00C22E06">
      <w:pPr>
        <w:suppressAutoHyphens w:val="0"/>
        <w:autoSpaceDN/>
        <w:spacing w:before="0" w:after="120" w:line="276" w:lineRule="auto"/>
        <w:contextualSpacing w:val="0"/>
        <w:jc w:val="both"/>
        <w:rPr>
          <w:rFonts w:cs="Arial"/>
          <w:noProof/>
        </w:rPr>
      </w:pPr>
      <w:r>
        <w:rPr>
          <w:rFonts w:cs="Arial"/>
          <w:noProof/>
        </w:rPr>
        <w:t xml:space="preserve">2. </w:t>
      </w:r>
      <w:r w:rsidR="0092620B" w:rsidRPr="00174138">
        <w:rPr>
          <w:rFonts w:cs="Arial"/>
          <w:noProof/>
        </w:rPr>
        <w:t>Screening pozitiv: aplicarea filtrelor la un univers de valori mobiliare, emitenți, investiții, sectoare sau alte instrumente financiare permite Grupului să investească în emitenți sau proiecte selectate și pentru performanța lor ESG pozitivă</w:t>
      </w:r>
      <w:r w:rsidR="0092620B" w:rsidRPr="00174138">
        <w:rPr>
          <w:rFonts w:cs="Arial"/>
          <w:noProof/>
          <w:vertAlign w:val="superscript"/>
        </w:rPr>
        <w:footnoteReference w:id="11"/>
      </w:r>
      <w:r w:rsidR="0092620B" w:rsidRPr="00174138">
        <w:rPr>
          <w:rFonts w:cs="Arial"/>
          <w:noProof/>
        </w:rPr>
        <w:t xml:space="preserve"> în raport cu colegii din diferite criterii (de exemplu, industrie, sector, geografie, regiuni, activități și practici comerciale, produse și servicii etc.)  cea</w:t>
      </w:r>
    </w:p>
    <w:p w14:paraId="51726F70" w14:textId="1FA3AB37" w:rsidR="0092620B" w:rsidRPr="0087494E" w:rsidRDefault="0092620B" w:rsidP="00C22E06">
      <w:pPr>
        <w:suppressAutoHyphens w:val="0"/>
        <w:autoSpaceDN/>
        <w:spacing w:before="0" w:after="120" w:line="276" w:lineRule="auto"/>
        <w:contextualSpacing w:val="0"/>
        <w:jc w:val="both"/>
        <w:rPr>
          <w:rFonts w:cs="Arial"/>
          <w:noProof/>
        </w:rPr>
      </w:pPr>
      <w:r w:rsidRPr="00174138">
        <w:rPr>
          <w:rFonts w:cs="Arial"/>
          <w:noProof/>
        </w:rPr>
        <w:t xml:space="preserve">mai bună abordare din univers și/sau cea mai bună abordare derivată din analiza ESG. </w:t>
      </w:r>
    </w:p>
    <w:p w14:paraId="2E29EB0A" w14:textId="15272444" w:rsidR="0092620B" w:rsidRPr="0087494E" w:rsidRDefault="009A7319" w:rsidP="00C22E06">
      <w:pPr>
        <w:suppressAutoHyphens w:val="0"/>
        <w:autoSpaceDN/>
        <w:spacing w:before="0" w:after="120" w:line="276" w:lineRule="auto"/>
        <w:contextualSpacing w:val="0"/>
        <w:jc w:val="both"/>
        <w:rPr>
          <w:rFonts w:cs="Arial"/>
          <w:noProof/>
        </w:rPr>
      </w:pPr>
      <w:r>
        <w:rPr>
          <w:rFonts w:cs="Arial"/>
          <w:noProof/>
        </w:rPr>
        <w:t xml:space="preserve">3. </w:t>
      </w:r>
      <w:r w:rsidR="0092620B" w:rsidRPr="00174138">
        <w:rPr>
          <w:rFonts w:cs="Arial"/>
          <w:noProof/>
        </w:rPr>
        <w:t>Integrarea ESG: includerea explicită și sistematică a factorilor de sustenabilitate semnificativi (prin utilizarea informațiilor calitative și cantitative ESG) în analiza și deciziile de investiții permite Grupului să gestioneze mai bine riscurile, să îmbunătățească randamentele și să atenueze impactul negativ principal asupra factorilor de sustenabilitate;</w:t>
      </w:r>
    </w:p>
    <w:p w14:paraId="192A9FD3" w14:textId="3132E613" w:rsidR="0092620B" w:rsidRPr="0087494E" w:rsidRDefault="00363618" w:rsidP="00C22E06">
      <w:pPr>
        <w:suppressAutoHyphens w:val="0"/>
        <w:autoSpaceDN/>
        <w:spacing w:before="0" w:after="120" w:line="276" w:lineRule="auto"/>
        <w:contextualSpacing w:val="0"/>
        <w:jc w:val="both"/>
        <w:rPr>
          <w:rFonts w:cs="Arial"/>
          <w:noProof/>
        </w:rPr>
      </w:pPr>
      <w:r>
        <w:rPr>
          <w:rFonts w:cs="Arial"/>
          <w:noProof/>
        </w:rPr>
        <w:t xml:space="preserve">4. </w:t>
      </w:r>
      <w:r w:rsidR="0092620B" w:rsidRPr="00174138">
        <w:rPr>
          <w:rFonts w:cs="Arial"/>
          <w:noProof/>
        </w:rPr>
        <w:t>Investiții durabile: definirea unor strategii de investiții specifice, pentru diferitele clase de active, care vizează susținerea investițiilor cu caracteristici de sustenabilitate, permite Grupului să creeze valoare pe termen lung pentru întreaga societate;</w:t>
      </w:r>
    </w:p>
    <w:p w14:paraId="1342162E" w14:textId="4F251A92" w:rsidR="0092620B" w:rsidRPr="0087494E" w:rsidRDefault="00363618" w:rsidP="00C22E06">
      <w:pPr>
        <w:suppressAutoHyphens w:val="0"/>
        <w:autoSpaceDN/>
        <w:spacing w:before="0" w:after="120" w:line="276" w:lineRule="auto"/>
        <w:contextualSpacing w:val="0"/>
        <w:jc w:val="both"/>
        <w:rPr>
          <w:rFonts w:cs="Arial"/>
          <w:noProof/>
        </w:rPr>
      </w:pPr>
      <w:r>
        <w:rPr>
          <w:rFonts w:cs="Arial"/>
          <w:noProof/>
        </w:rPr>
        <w:t xml:space="preserve">5. </w:t>
      </w:r>
      <w:r w:rsidR="0092620B" w:rsidRPr="00174138">
        <w:rPr>
          <w:rFonts w:cs="Arial"/>
          <w:noProof/>
        </w:rPr>
        <w:t>Acționariat activ (vot</w:t>
      </w:r>
      <w:r w:rsidR="00EB3048">
        <w:rPr>
          <w:rFonts w:cs="Arial"/>
          <w:noProof/>
        </w:rPr>
        <w:t xml:space="preserve"> și</w:t>
      </w:r>
      <w:r w:rsidR="009E44D3">
        <w:rPr>
          <w:rFonts w:cs="Arial"/>
          <w:noProof/>
        </w:rPr>
        <w:t xml:space="preserve"> angajament</w:t>
      </w:r>
      <w:r w:rsidR="0092620B" w:rsidRPr="00174138">
        <w:rPr>
          <w:rFonts w:cs="Arial"/>
          <w:noProof/>
        </w:rPr>
        <w:t xml:space="preserve">): deoarece deciziile luate în cadrul adunărilor generale ale companiilor în care s-a investit sunt de cea mai mare importanță pentru realizarea strategiilor lor pe termen lung, Grupul adoptă principii și criterii, inclusiv luarea în considerare a factorilor și riscurilor semnificative de sustenabilitate, în definirea deciziilor de vot în concordanță cu interesul Grupului și al clienților săi. Pentru abordarea de angajament, vă rugăm să consultați par. </w:t>
      </w:r>
      <w:r>
        <w:rPr>
          <w:rFonts w:cs="Arial"/>
          <w:noProof/>
        </w:rPr>
        <w:t>2.4</w:t>
      </w:r>
    </w:p>
    <w:p w14:paraId="03B290F6" w14:textId="028D9AD8" w:rsidR="00695E02" w:rsidRPr="0087494E" w:rsidRDefault="00157467" w:rsidP="008A6281">
      <w:pPr>
        <w:spacing w:before="0" w:after="120" w:line="276" w:lineRule="auto"/>
        <w:contextualSpacing w:val="0"/>
        <w:rPr>
          <w:rFonts w:eastAsia="Calibri" w:cs="Arial"/>
          <w:color w:val="auto"/>
          <w:szCs w:val="18"/>
        </w:rPr>
      </w:pPr>
      <w:r w:rsidRPr="00667CC2">
        <w:rPr>
          <w:rFonts w:cs="Arial"/>
          <w:szCs w:val="18"/>
        </w:rPr>
        <w:t xml:space="preserve">Mai mult </w:t>
      </w:r>
      <w:r w:rsidR="00695E02" w:rsidRPr="00174138">
        <w:rPr>
          <w:rFonts w:eastAsia="Calibri" w:cs="Arial"/>
          <w:color w:val="auto"/>
          <w:szCs w:val="18"/>
        </w:rPr>
        <w:t>Modelul de investiții al Grupului prevede,</w:t>
      </w:r>
      <w:r w:rsidR="008377EB">
        <w:rPr>
          <w:rFonts w:eastAsia="Calibri" w:cs="Arial"/>
          <w:color w:val="auto"/>
          <w:szCs w:val="18"/>
        </w:rPr>
        <w:t xml:space="preserve"> de asemenea,</w:t>
      </w:r>
      <w:r w:rsidR="00695E02" w:rsidRPr="00174138">
        <w:rPr>
          <w:rFonts w:eastAsia="Calibri" w:cs="Arial"/>
          <w:color w:val="auto"/>
          <w:szCs w:val="18"/>
        </w:rPr>
        <w:t xml:space="preserve"> investiții prin fonduri</w:t>
      </w:r>
      <w:r w:rsidR="008377EB">
        <w:rPr>
          <w:rFonts w:eastAsia="Calibri" w:cs="Arial"/>
          <w:color w:val="auto"/>
          <w:szCs w:val="18"/>
        </w:rPr>
        <w:t xml:space="preserve"> </w:t>
      </w:r>
      <w:r w:rsidR="00695E02" w:rsidRPr="00174138">
        <w:rPr>
          <w:rFonts w:eastAsia="Calibri" w:cs="Arial"/>
          <w:color w:val="auto"/>
          <w:szCs w:val="18"/>
        </w:rPr>
        <w:t xml:space="preserve">administrate de administratori de active care </w:t>
      </w:r>
      <w:r w:rsidR="005A5086">
        <w:rPr>
          <w:rFonts w:eastAsia="Calibri" w:cs="Arial"/>
          <w:color w:val="auto"/>
          <w:szCs w:val="18"/>
        </w:rPr>
        <w:t xml:space="preserve">aparțin </w:t>
      </w:r>
      <w:r w:rsidR="00695E02" w:rsidRPr="00174138">
        <w:rPr>
          <w:rFonts w:eastAsia="Calibri" w:cs="Arial"/>
          <w:color w:val="auto"/>
          <w:szCs w:val="18"/>
        </w:rPr>
        <w:t xml:space="preserve">Grupului </w:t>
      </w:r>
      <w:r w:rsidR="005A5086">
        <w:rPr>
          <w:rFonts w:eastAsia="Calibri" w:cs="Arial"/>
          <w:color w:val="auto"/>
          <w:szCs w:val="18"/>
        </w:rPr>
        <w:t xml:space="preserve">sau sunt externe </w:t>
      </w:r>
      <w:r w:rsidR="00695E02" w:rsidRPr="00174138">
        <w:rPr>
          <w:rFonts w:eastAsia="Calibri" w:cs="Arial"/>
          <w:color w:val="auto"/>
          <w:szCs w:val="18"/>
        </w:rPr>
        <w:t xml:space="preserve">(adică investiții indirecte). </w:t>
      </w:r>
    </w:p>
    <w:p w14:paraId="746FE3FD" w14:textId="58FEDD38" w:rsidR="00695E02" w:rsidRPr="0087494E" w:rsidRDefault="00695E02" w:rsidP="008A6281">
      <w:pPr>
        <w:spacing w:before="0" w:after="120" w:line="276" w:lineRule="auto"/>
        <w:contextualSpacing w:val="0"/>
        <w:rPr>
          <w:rFonts w:cs="Arial"/>
          <w:color w:val="auto"/>
          <w:szCs w:val="18"/>
        </w:rPr>
      </w:pPr>
      <w:r w:rsidRPr="00174138">
        <w:rPr>
          <w:rFonts w:cs="Arial"/>
          <w:color w:val="auto"/>
          <w:szCs w:val="18"/>
        </w:rPr>
        <w:t xml:space="preserve">Pentru aceste investiții, Grupul a definit un set de criterii de screening ESG (atât pentru </w:t>
      </w:r>
      <w:r w:rsidR="003642F8">
        <w:rPr>
          <w:rFonts w:cs="Arial"/>
          <w:color w:val="auto"/>
          <w:szCs w:val="18"/>
        </w:rPr>
        <w:t xml:space="preserve">fondurile care investesc în instrumente de </w:t>
      </w:r>
      <w:r w:rsidR="007A1B84">
        <w:rPr>
          <w:rFonts w:cs="Arial"/>
          <w:color w:val="auto"/>
          <w:szCs w:val="18"/>
        </w:rPr>
        <w:t xml:space="preserve">capital și de datorie </w:t>
      </w:r>
      <w:r w:rsidR="003642F8">
        <w:rPr>
          <w:rFonts w:cs="Arial"/>
          <w:color w:val="auto"/>
          <w:szCs w:val="18"/>
        </w:rPr>
        <w:t xml:space="preserve"> listate, cât și pentru fondurile </w:t>
      </w:r>
      <w:r w:rsidR="007A1B84">
        <w:rPr>
          <w:rFonts w:cs="Arial"/>
          <w:color w:val="auto"/>
          <w:szCs w:val="18"/>
        </w:rPr>
        <w:t>care investesc</w:t>
      </w:r>
      <w:r w:rsidR="003642F8">
        <w:rPr>
          <w:rFonts w:cs="Arial"/>
          <w:color w:val="auto"/>
          <w:szCs w:val="18"/>
        </w:rPr>
        <w:t xml:space="preserve"> în </w:t>
      </w:r>
      <w:r w:rsidR="007A1B84">
        <w:rPr>
          <w:rFonts w:cs="Arial"/>
          <w:color w:val="auto"/>
          <w:szCs w:val="18"/>
        </w:rPr>
        <w:t>instrumente nelistate/datorie privată și capitaluri proprii)</w:t>
      </w:r>
      <w:r w:rsidRPr="00174138">
        <w:rPr>
          <w:rFonts w:cs="Arial"/>
          <w:color w:val="auto"/>
          <w:szCs w:val="18"/>
        </w:rPr>
        <w:t xml:space="preserve"> </w:t>
      </w:r>
      <w:r w:rsidR="00123F4B">
        <w:rPr>
          <w:rFonts w:cs="Arial"/>
          <w:color w:val="auto"/>
          <w:szCs w:val="18"/>
        </w:rPr>
        <w:t xml:space="preserve"> care urmează să fie integrate în procesul de selecție și monitorizare </w:t>
      </w:r>
      <w:r w:rsidRPr="00174138">
        <w:rPr>
          <w:rFonts w:cs="Arial"/>
          <w:color w:val="auto"/>
          <w:szCs w:val="18"/>
        </w:rPr>
        <w:t>pentru a evalua strategia ESG a administratorilor de active și alinierea la unele dintre angajamentele asumate de Grup,  cum ar fi restricțiile asupra cărbunelui termic, controverse semnificative și arme neconvenționale, transparență și angajament pentru combaterea schimbărilor climatice.</w:t>
      </w:r>
    </w:p>
    <w:p w14:paraId="6B60EDE0" w14:textId="17361A01" w:rsidR="00695E02" w:rsidRPr="0087494E" w:rsidRDefault="00695E02" w:rsidP="00DF1BBF">
      <w:pPr>
        <w:spacing w:before="0" w:after="120" w:line="276" w:lineRule="auto"/>
        <w:contextualSpacing w:val="0"/>
        <w:rPr>
          <w:rFonts w:eastAsia="Calibri" w:cs="Arial"/>
          <w:color w:val="auto"/>
          <w:szCs w:val="18"/>
        </w:rPr>
      </w:pPr>
      <w:r w:rsidRPr="00174138">
        <w:rPr>
          <w:rFonts w:eastAsia="Calibri" w:cs="Arial"/>
          <w:color w:val="auto"/>
          <w:szCs w:val="18"/>
        </w:rPr>
        <w:t>Mai mult, dialogul constant cu administratorii de active ai fondurilor în care investește Grupul este un element cheie care permite promovarea nevoilor sale de integrare a sustenabilității față de aceștia, mai ales atunci când evaluarea politicilor administratorilor de active identifică unele aspecte care, deși nu constituie un element de cesionare, pot reprezenta domenii de îmbunătățire.</w:t>
      </w:r>
    </w:p>
    <w:p w14:paraId="28F8B8D9" w14:textId="572808FD" w:rsidR="00B8528D" w:rsidRPr="0087494E" w:rsidRDefault="00695E02" w:rsidP="00DF1BBF">
      <w:pPr>
        <w:spacing w:before="0" w:after="120" w:line="276" w:lineRule="auto"/>
        <w:contextualSpacing w:val="0"/>
        <w:rPr>
          <w:rFonts w:cs="Arial"/>
        </w:rPr>
      </w:pPr>
      <w:r w:rsidRPr="00174138">
        <w:rPr>
          <w:rFonts w:cs="Arial"/>
        </w:rPr>
        <w:t xml:space="preserve">Pentru mai multe detalii, vă rugăm să consultați Integrarea </w:t>
      </w:r>
      <w:r w:rsidR="002E7D71" w:rsidRPr="00174138">
        <w:rPr>
          <w:rFonts w:eastAsia="Arial Regular" w:cs="Arial"/>
          <w:szCs w:val="18"/>
          <w:lang w:eastAsia="en-US"/>
        </w:rPr>
        <w:t xml:space="preserve">Linia directoare privind sustenabilitatea în investiții și acționariatul activ </w:t>
      </w:r>
      <w:r w:rsidR="00945180" w:rsidRPr="00174138">
        <w:rPr>
          <w:rFonts w:cs="Arial"/>
        </w:rPr>
        <w:t>disponibil public pe site-ul web (</w:t>
      </w:r>
      <w:r w:rsidR="00C96CAB">
        <w:fldChar w:fldCharType="begin"/>
      </w:r>
      <w:r w:rsidR="00C96CAB" w:rsidRPr="006A0E03">
        <w:instrText>HYPERLINK "https://www.generali.com/sustainability/responsible-investor/sustainability-into-investments"</w:instrText>
      </w:r>
      <w:r w:rsidR="00C96CAB">
        <w:fldChar w:fldCharType="separate"/>
      </w:r>
      <w:r w:rsidR="00100936" w:rsidRPr="00174138">
        <w:rPr>
          <w:rStyle w:val="Hyperlink"/>
          <w:rFonts w:cs="Arial"/>
        </w:rPr>
        <w:t>legătură</w:t>
      </w:r>
      <w:r w:rsidR="00C96CAB">
        <w:rPr>
          <w:rStyle w:val="Hyperlink"/>
          <w:rFonts w:cs="Arial"/>
        </w:rPr>
        <w:fldChar w:fldCharType="end"/>
      </w:r>
      <w:r w:rsidR="002E7D71" w:rsidRPr="00174138">
        <w:rPr>
          <w:rFonts w:cs="Arial"/>
        </w:rPr>
        <w:t xml:space="preserve">). </w:t>
      </w:r>
    </w:p>
    <w:p w14:paraId="626A6766" w14:textId="77777777" w:rsidR="001A6FA3" w:rsidRPr="0087494E" w:rsidRDefault="001A6FA3" w:rsidP="001A6FA3">
      <w:pPr>
        <w:widowControl/>
        <w:suppressAutoHyphens w:val="0"/>
        <w:autoSpaceDE w:val="0"/>
        <w:autoSpaceDN/>
        <w:adjustRightInd w:val="0"/>
        <w:spacing w:before="0" w:after="120" w:line="276" w:lineRule="auto"/>
        <w:contextualSpacing w:val="0"/>
        <w:rPr>
          <w:rFonts w:eastAsia="Calibri" w:cs="Arial"/>
          <w:szCs w:val="18"/>
          <w:lang w:eastAsia="en-US"/>
        </w:rPr>
      </w:pPr>
      <w:r w:rsidRPr="0087494E">
        <w:rPr>
          <w:rFonts w:eastAsia="Calibri" w:cs="Arial"/>
          <w:szCs w:val="18"/>
          <w:lang w:eastAsia="en-US"/>
        </w:rPr>
        <w:t>Investițiile imobiliare (atât directe, cât și indirecte) sunt realizate de administratorul specializat de active imobiliare al Grupului care este implicat în următoarele inițiative care vizează limitarea/eliminarea potențialului impact negativ al investițiilor asupra factorilor de sustenabilitate:</w:t>
      </w:r>
    </w:p>
    <w:p w14:paraId="270D9996" w14:textId="77777777" w:rsidR="001A6FA3" w:rsidRPr="0087494E" w:rsidRDefault="001A6FA3" w:rsidP="001A6FA3">
      <w:pPr>
        <w:widowControl/>
        <w:numPr>
          <w:ilvl w:val="0"/>
          <w:numId w:val="21"/>
        </w:numPr>
        <w:suppressAutoHyphens w:val="0"/>
        <w:autoSpaceDN/>
        <w:spacing w:before="0" w:after="120" w:line="276" w:lineRule="auto"/>
        <w:ind w:left="720"/>
        <w:contextualSpacing w:val="0"/>
        <w:jc w:val="both"/>
        <w:rPr>
          <w:rFonts w:cs="Arial"/>
          <w:noProof/>
        </w:rPr>
      </w:pPr>
      <w:r w:rsidRPr="0087494E">
        <w:rPr>
          <w:rFonts w:cs="Arial"/>
          <w:noProof/>
        </w:rPr>
        <w:t xml:space="preserve">Verificarea contrapărților: </w:t>
      </w:r>
      <w:r w:rsidRPr="0087494E">
        <w:rPr>
          <w:rFonts w:eastAsia="Calibri" w:cs="Arial"/>
          <w:color w:val="auto"/>
          <w:szCs w:val="18"/>
          <w:lang w:eastAsia="en-US"/>
        </w:rPr>
        <w:t xml:space="preserve">luarea în considerare a controverselor și/sau a sectoarelor de activitate relevante în evaluarea ESG; examinarea are loc asupra contrapărților definite ca cumpărător, vânzător sau coinvestitori și se aplică și chiriașilor. </w:t>
      </w:r>
    </w:p>
    <w:p w14:paraId="4FC9C7B0" w14:textId="77777777" w:rsidR="001A6FA3" w:rsidRPr="0087494E" w:rsidRDefault="001A6FA3" w:rsidP="001A6FA3">
      <w:pPr>
        <w:widowControl/>
        <w:numPr>
          <w:ilvl w:val="0"/>
          <w:numId w:val="21"/>
        </w:numPr>
        <w:suppressAutoHyphens w:val="0"/>
        <w:autoSpaceDN/>
        <w:spacing w:before="0" w:after="120" w:line="276" w:lineRule="auto"/>
        <w:ind w:left="720"/>
        <w:contextualSpacing w:val="0"/>
        <w:jc w:val="both"/>
        <w:rPr>
          <w:rFonts w:cs="Arial"/>
          <w:noProof/>
        </w:rPr>
      </w:pPr>
      <w:r w:rsidRPr="00174138">
        <w:rPr>
          <w:rFonts w:cs="Arial"/>
          <w:noProof/>
        </w:rPr>
        <w:t xml:space="preserve">Due diligence durabil: </w:t>
      </w:r>
      <w:r w:rsidRPr="00174138">
        <w:rPr>
          <w:rFonts w:eastAsia="Calibri" w:cs="Arial"/>
          <w:szCs w:val="18"/>
          <w:lang w:eastAsia="en-US"/>
        </w:rPr>
        <w:t>achizițiile sunt supuse unei due diligence de mediu/durabile (SDD) pentru a măsura performanța ponderată a fiecărei clădiri</w:t>
      </w:r>
      <w:r w:rsidRPr="00174138">
        <w:rPr>
          <w:rFonts w:eastAsia="Calibri" w:cs="Arial"/>
          <w:szCs w:val="18"/>
          <w:vertAlign w:val="superscript"/>
          <w:lang w:eastAsia="en-US"/>
        </w:rPr>
        <w:footnoteReference w:id="12"/>
      </w:r>
      <w:r w:rsidRPr="00174138">
        <w:rPr>
          <w:rFonts w:eastAsia="Calibri" w:cs="Arial"/>
          <w:szCs w:val="18"/>
          <w:lang w:eastAsia="en-US"/>
        </w:rPr>
        <w:t xml:space="preserve">. Rezultatele acestor verificări sunt încorporate în due diligence în scop informativ și pentru a fi luate în considerare, alături de alți factori în procesul de luare a deciziilor de investiții. </w:t>
      </w:r>
    </w:p>
    <w:p w14:paraId="0AFE8D9F" w14:textId="77777777" w:rsidR="001A6FA3" w:rsidRPr="0087494E" w:rsidRDefault="001A6FA3" w:rsidP="001A6FA3">
      <w:pPr>
        <w:widowControl/>
        <w:numPr>
          <w:ilvl w:val="0"/>
          <w:numId w:val="21"/>
        </w:numPr>
        <w:suppressAutoHyphens w:val="0"/>
        <w:autoSpaceDN/>
        <w:spacing w:before="0" w:after="120" w:line="276" w:lineRule="auto"/>
        <w:ind w:left="720"/>
        <w:contextualSpacing w:val="0"/>
        <w:jc w:val="both"/>
        <w:rPr>
          <w:rFonts w:eastAsia="Calibri" w:cs="Arial"/>
          <w:color w:val="auto"/>
          <w:szCs w:val="18"/>
          <w:lang w:eastAsia="en-US"/>
        </w:rPr>
      </w:pPr>
      <w:r w:rsidRPr="00174138">
        <w:rPr>
          <w:rFonts w:eastAsia="Calibri" w:cs="Arial"/>
          <w:color w:val="auto"/>
          <w:szCs w:val="18"/>
          <w:lang w:eastAsia="en-US"/>
        </w:rPr>
        <w:t>Analiza datelor: implementarea unui proiect de analiză a datelor care acoperă 11 țări europene. Datele de consum ale utilităților existente sunt colectate și centralizate într-o platformă digitală, care calculează automat emisiile de CO2 și monitorizează evoluția acestora.</w:t>
      </w:r>
    </w:p>
    <w:p w14:paraId="628BC8B4" w14:textId="77777777" w:rsidR="001A6FA3" w:rsidRPr="0087494E" w:rsidRDefault="001A6FA3" w:rsidP="001A6FA3">
      <w:pPr>
        <w:widowControl/>
        <w:numPr>
          <w:ilvl w:val="0"/>
          <w:numId w:val="21"/>
        </w:numPr>
        <w:suppressAutoHyphens w:val="0"/>
        <w:autoSpaceDE w:val="0"/>
        <w:autoSpaceDN/>
        <w:adjustRightInd w:val="0"/>
        <w:spacing w:before="0" w:after="120" w:line="276" w:lineRule="auto"/>
        <w:ind w:left="720"/>
        <w:contextualSpacing w:val="0"/>
        <w:jc w:val="both"/>
        <w:rPr>
          <w:rFonts w:eastAsia="Calibri" w:cs="Arial"/>
          <w:szCs w:val="18"/>
          <w:lang w:eastAsia="en-US"/>
        </w:rPr>
      </w:pPr>
      <w:r w:rsidRPr="00174138">
        <w:rPr>
          <w:rFonts w:eastAsia="Calibri" w:cs="Arial"/>
          <w:color w:val="auto"/>
          <w:szCs w:val="18"/>
          <w:lang w:eastAsia="en-US"/>
        </w:rPr>
        <w:t xml:space="preserve">Contracte de închiriere verde: </w:t>
      </w:r>
      <w:r w:rsidRPr="00174138">
        <w:rPr>
          <w:rFonts w:eastAsia="Calibri" w:cs="Arial"/>
          <w:szCs w:val="18"/>
          <w:lang w:eastAsia="en-US"/>
        </w:rPr>
        <w:t xml:space="preserve">propunerea unei noi "clauze standard de închiriere verde", de fiecare dată când un contract de închiriere cu un chiriaș este (re)negociat. Această clauză permite obținerea minimă a consumurilor de utilități ale chiriașilor în mod regulat, precum și un angajament sporit privind sustenabilitatea, astfel încât să poată fi întreprinse acțiuni pentru îmbunătățirea managementului, a clădirilor și a amprentei de CO². </w:t>
      </w:r>
    </w:p>
    <w:p w14:paraId="279F8738" w14:textId="77777777" w:rsidR="001A6FA3" w:rsidRPr="0087494E" w:rsidRDefault="001A6FA3" w:rsidP="001A6FA3">
      <w:pPr>
        <w:widowControl/>
        <w:numPr>
          <w:ilvl w:val="0"/>
          <w:numId w:val="21"/>
        </w:numPr>
        <w:suppressAutoHyphens w:val="0"/>
        <w:autoSpaceDE w:val="0"/>
        <w:autoSpaceDN/>
        <w:adjustRightInd w:val="0"/>
        <w:spacing w:before="0" w:after="120" w:line="276" w:lineRule="auto"/>
        <w:ind w:left="720"/>
        <w:contextualSpacing w:val="0"/>
        <w:jc w:val="both"/>
        <w:rPr>
          <w:rFonts w:eastAsia="Calibri" w:cs="Arial"/>
          <w:szCs w:val="18"/>
          <w:lang w:eastAsia="en-US"/>
        </w:rPr>
      </w:pPr>
      <w:r w:rsidRPr="00174138">
        <w:rPr>
          <w:rFonts w:eastAsia="Calibri" w:cs="Arial"/>
          <w:szCs w:val="18"/>
          <w:lang w:eastAsia="en-US"/>
        </w:rPr>
        <w:t>Analiza riscului fizic: analiza impactului portofoliului pentru a geolocaliza activele și pentru a cartografia riscurile fizice legate de încălzirea globală, în conformitate cu recomandările TCFD (Task Force on Climate-related Financial Disclosures)</w:t>
      </w:r>
      <w:r w:rsidRPr="00174138">
        <w:rPr>
          <w:rStyle w:val="FootnoteReference"/>
          <w:rFonts w:eastAsia="Calibri" w:cs="Arial"/>
          <w:szCs w:val="18"/>
          <w:lang w:eastAsia="en-US"/>
        </w:rPr>
        <w:footnoteReference w:id="13"/>
      </w:r>
      <w:r w:rsidRPr="00174138">
        <w:rPr>
          <w:rFonts w:eastAsia="Calibri" w:cs="Arial"/>
          <w:szCs w:val="18"/>
          <w:lang w:eastAsia="en-US"/>
        </w:rPr>
        <w:t xml:space="preserve"> și cu cadrul de evaluare a taxonomiei UE.</w:t>
      </w:r>
    </w:p>
    <w:p w14:paraId="2E13436A" w14:textId="77777777" w:rsidR="001A6FA3" w:rsidRPr="00C17382" w:rsidRDefault="001A6FA3" w:rsidP="001A6FA3">
      <w:pPr>
        <w:widowControl/>
        <w:numPr>
          <w:ilvl w:val="0"/>
          <w:numId w:val="21"/>
        </w:numPr>
        <w:suppressAutoHyphens w:val="0"/>
        <w:autoSpaceDE w:val="0"/>
        <w:autoSpaceDN/>
        <w:adjustRightInd w:val="0"/>
        <w:spacing w:before="0" w:after="120" w:line="276" w:lineRule="auto"/>
        <w:ind w:left="720"/>
        <w:contextualSpacing w:val="0"/>
        <w:jc w:val="both"/>
        <w:rPr>
          <w:rFonts w:eastAsia="Calibri" w:cs="Arial"/>
          <w:color w:val="auto"/>
          <w:szCs w:val="18"/>
          <w:lang w:eastAsia="en-US"/>
        </w:rPr>
      </w:pPr>
      <w:r w:rsidRPr="00C17382">
        <w:rPr>
          <w:rFonts w:eastAsia="Calibri" w:cs="Arial"/>
          <w:color w:val="auto"/>
          <w:szCs w:val="18"/>
          <w:lang w:eastAsia="en-US"/>
        </w:rPr>
        <w:t xml:space="preserve">Tranziția către o economie cu emisii scăzute de dioxid de carbon: reducerea emisiilor portofoliilor și, în general, tranziția către emisiile scăzute de dioxid de carbon, inclusiv printr-un plan de investiții specific. </w:t>
      </w:r>
    </w:p>
    <w:p w14:paraId="340E0BB5" w14:textId="77777777" w:rsidR="001A6FA3" w:rsidRPr="0087494E" w:rsidRDefault="001A6FA3" w:rsidP="001A6FA3">
      <w:pPr>
        <w:widowControl/>
        <w:suppressAutoHyphens w:val="0"/>
        <w:autoSpaceDE w:val="0"/>
        <w:autoSpaceDN/>
        <w:adjustRightInd w:val="0"/>
        <w:spacing w:before="0" w:after="120" w:line="276" w:lineRule="auto"/>
        <w:ind w:left="720"/>
        <w:contextualSpacing w:val="0"/>
        <w:jc w:val="both"/>
        <w:rPr>
          <w:rFonts w:eastAsia="Calibri" w:cs="Arial"/>
          <w:color w:val="auto"/>
          <w:szCs w:val="18"/>
          <w:lang w:eastAsia="en-US"/>
        </w:rPr>
      </w:pPr>
      <w:r w:rsidRPr="00174138">
        <w:rPr>
          <w:rFonts w:eastAsia="Calibri" w:cs="Arial"/>
          <w:color w:val="auto"/>
          <w:szCs w:val="18"/>
          <w:lang w:eastAsia="en-US"/>
        </w:rPr>
        <w:lastRenderedPageBreak/>
        <w:t xml:space="preserve">. </w:t>
      </w:r>
    </w:p>
    <w:p w14:paraId="1B4F50D4" w14:textId="0837594D" w:rsidR="00CB04C6" w:rsidRPr="0087494E" w:rsidRDefault="00CB04C6" w:rsidP="00CB04C6">
      <w:pPr>
        <w:spacing w:before="0" w:after="120" w:line="276" w:lineRule="auto"/>
        <w:contextualSpacing w:val="0"/>
        <w:rPr>
          <w:rFonts w:cs="Arial"/>
          <w:szCs w:val="18"/>
          <w:u w:val="single"/>
        </w:rPr>
      </w:pPr>
      <w:r w:rsidRPr="00B77B37">
        <w:rPr>
          <w:rFonts w:cs="Arial"/>
          <w:szCs w:val="18"/>
          <w:u w:val="single"/>
        </w:rPr>
        <w:t>Cadrul</w:t>
      </w:r>
      <w:r w:rsidR="003F22B8">
        <w:rPr>
          <w:rFonts w:cs="Arial"/>
          <w:szCs w:val="18"/>
          <w:u w:val="single"/>
        </w:rPr>
        <w:t xml:space="preserve"> pentru</w:t>
      </w:r>
      <w:r w:rsidRPr="003F22B8">
        <w:rPr>
          <w:rFonts w:cs="Arial"/>
          <w:szCs w:val="18"/>
          <w:u w:val="single"/>
        </w:rPr>
        <w:t xml:space="preserve"> </w:t>
      </w:r>
      <w:r w:rsidR="00963E41" w:rsidRPr="00667CC2">
        <w:rPr>
          <w:szCs w:val="18"/>
          <w:u w:val="single"/>
        </w:rPr>
        <w:t>portofoliile de produse de asigurare legate de investiții</w:t>
      </w:r>
      <w:r w:rsidR="00390200" w:rsidRPr="003F22B8">
        <w:rPr>
          <w:rFonts w:cs="Arial"/>
          <w:szCs w:val="18"/>
          <w:u w:val="single"/>
        </w:rPr>
        <w:t>:</w:t>
      </w:r>
    </w:p>
    <w:p w14:paraId="4A9E2764" w14:textId="07D4DA08" w:rsidR="00B12479" w:rsidRPr="0087494E" w:rsidRDefault="00B77B37" w:rsidP="00DF1BBF">
      <w:pPr>
        <w:spacing w:before="0" w:after="120" w:line="276" w:lineRule="auto"/>
        <w:contextualSpacing w:val="0"/>
        <w:rPr>
          <w:rFonts w:cs="Arial"/>
        </w:rPr>
      </w:pPr>
      <w:r>
        <w:rPr>
          <w:rFonts w:cs="Arial"/>
        </w:rPr>
        <w:t>Integrarea</w:t>
      </w:r>
      <w:r w:rsidR="00CC4FAA" w:rsidRPr="003D692E">
        <w:rPr>
          <w:rFonts w:cs="Arial"/>
        </w:rPr>
        <w:t xml:space="preserve">factorilor de sustenabilitate în portofoliile de investiții care stau la baza </w:t>
      </w:r>
      <w:r w:rsidR="00390200">
        <w:rPr>
          <w:rFonts w:cs="Arial"/>
        </w:rPr>
        <w:t>produselor de asigurare legate de investiții</w:t>
      </w:r>
      <w:r w:rsidR="00F2251F">
        <w:rPr>
          <w:rFonts w:cs="Arial"/>
        </w:rPr>
        <w:t xml:space="preserve"> </w:t>
      </w:r>
      <w:r w:rsidR="00CC4FAA" w:rsidRPr="003D692E">
        <w:rPr>
          <w:rFonts w:cs="Arial"/>
        </w:rPr>
        <w:t>depinde strict de mai mulți factori, cum ar fi</w:t>
      </w:r>
      <w:r w:rsidR="00281E38">
        <w:rPr>
          <w:rFonts w:cs="Arial"/>
        </w:rPr>
        <w:t xml:space="preserve"> preferințele de sustenabilitate ale deținătorilor de polițe</w:t>
      </w:r>
      <w:r w:rsidR="00EE358E">
        <w:rPr>
          <w:rFonts w:cs="Arial"/>
        </w:rPr>
        <w:t xml:space="preserve">, modelul de distribuție, caracteristicile specifice pieței locale. </w:t>
      </w:r>
    </w:p>
    <w:p w14:paraId="21FE2D7B" w14:textId="4631F446" w:rsidR="001A33E5" w:rsidRPr="0087494E" w:rsidRDefault="00B12479" w:rsidP="00DF1BBF">
      <w:pPr>
        <w:spacing w:before="0" w:after="120" w:line="276" w:lineRule="auto"/>
        <w:contextualSpacing w:val="0"/>
        <w:rPr>
          <w:rFonts w:cs="Arial"/>
        </w:rPr>
      </w:pPr>
      <w:r w:rsidRPr="003D692E">
        <w:rPr>
          <w:rFonts w:cs="Arial"/>
        </w:rPr>
        <w:t xml:space="preserve">Cu toate acestea, având în vedere evoluția continuă a reglementărilor și a practicilor de piață și indiferent de caracteristicile de sustenabilitate ale produsului de asigurare de referință, Grupul definește și actualizează cerințele ESG minime pentru selectarea investițiilor care stau la baza </w:t>
      </w:r>
      <w:r w:rsidR="00EE5542">
        <w:rPr>
          <w:rFonts w:cs="Arial"/>
        </w:rPr>
        <w:t xml:space="preserve">produsului de asigurare legat de investiții. pentru a </w:t>
      </w:r>
      <w:r w:rsidRPr="003D692E">
        <w:rPr>
          <w:rFonts w:cs="Arial"/>
        </w:rPr>
        <w:t>oferi deținătorilor de polițe de asigurare</w:t>
      </w:r>
      <w:r w:rsidR="001A33E5">
        <w:rPr>
          <w:rFonts w:cs="Arial"/>
        </w:rPr>
        <w:t xml:space="preserve">  un nivel minim de protecție și protecție în raport cu riscul de sustenabilitate</w:t>
      </w:r>
      <w:r w:rsidRPr="003D692E">
        <w:rPr>
          <w:rFonts w:cs="Arial"/>
        </w:rPr>
        <w:t xml:space="preserve"> și</w:t>
      </w:r>
      <w:r w:rsidR="001A33E5">
        <w:rPr>
          <w:rFonts w:cs="Arial"/>
        </w:rPr>
        <w:t xml:space="preserve"> pentru a minimiza expunerea la riscuri reputaționale pentru Grup. </w:t>
      </w:r>
      <w:r w:rsidRPr="003D692E">
        <w:rPr>
          <w:rFonts w:cs="Arial"/>
        </w:rPr>
        <w:t xml:space="preserve">  </w:t>
      </w:r>
    </w:p>
    <w:p w14:paraId="62B41887" w14:textId="6861C0FF" w:rsidR="008337F8" w:rsidRPr="0087494E" w:rsidRDefault="00F80123" w:rsidP="00DF1BBF">
      <w:pPr>
        <w:spacing w:before="0" w:after="120" w:line="276" w:lineRule="auto"/>
        <w:contextualSpacing w:val="0"/>
        <w:rPr>
          <w:rFonts w:cs="Arial"/>
        </w:rPr>
      </w:pPr>
      <w:r>
        <w:rPr>
          <w:rFonts w:cs="Arial"/>
        </w:rPr>
        <w:t>Pentru</w:t>
      </w:r>
      <w:r w:rsidR="008337F8">
        <w:rPr>
          <w:rFonts w:cs="Arial"/>
        </w:rPr>
        <w:t xml:space="preserve"> detalii suplimentare, consultați </w:t>
      </w:r>
      <w:r>
        <w:rPr>
          <w:rFonts w:cs="Arial"/>
        </w:rPr>
        <w:t>Ghidul "Integrarea sustenabilității în investiții și acționariatul activ" disponibil la https://www.generali.com/it/sustainability/responsible-investor/sustainability-into-investments</w:t>
      </w:r>
    </w:p>
    <w:p w14:paraId="7D0AA430" w14:textId="77777777" w:rsidR="00DA4CF3" w:rsidRPr="0087494E" w:rsidRDefault="00DA4CF3" w:rsidP="00673F07">
      <w:pPr>
        <w:autoSpaceDN/>
        <w:spacing w:before="0" w:after="120" w:line="276" w:lineRule="auto"/>
        <w:contextualSpacing w:val="0"/>
        <w:jc w:val="both"/>
        <w:rPr>
          <w:rFonts w:eastAsia="Arial Regular" w:cs="Arial"/>
          <w:szCs w:val="18"/>
          <w:u w:val="single"/>
          <w:lang w:eastAsia="en-US"/>
        </w:rPr>
      </w:pPr>
    </w:p>
    <w:p w14:paraId="2E07D263" w14:textId="544C1F7E" w:rsidR="004F083F" w:rsidRPr="0087494E" w:rsidRDefault="004F083F" w:rsidP="00DF1BBF">
      <w:pPr>
        <w:spacing w:before="0" w:after="120" w:line="276" w:lineRule="auto"/>
        <w:contextualSpacing w:val="0"/>
        <w:jc w:val="both"/>
        <w:rPr>
          <w:rFonts w:cs="Arial"/>
          <w:iCs/>
          <w:szCs w:val="18"/>
          <w:u w:val="single"/>
        </w:rPr>
      </w:pPr>
      <w:r w:rsidRPr="0087494E">
        <w:rPr>
          <w:rFonts w:cs="Arial"/>
          <w:iCs/>
          <w:szCs w:val="18"/>
          <w:u w:val="single"/>
        </w:rPr>
        <w:t xml:space="preserve">Schimbare climatică </w:t>
      </w:r>
    </w:p>
    <w:p w14:paraId="0B81DCF4" w14:textId="233327FF" w:rsidR="00B8528D" w:rsidRPr="0087494E" w:rsidRDefault="00B8528D" w:rsidP="00DF1BBF">
      <w:pPr>
        <w:spacing w:before="0" w:after="120" w:line="276" w:lineRule="auto"/>
        <w:contextualSpacing w:val="0"/>
        <w:jc w:val="both"/>
        <w:rPr>
          <w:rFonts w:cs="Arial"/>
          <w:szCs w:val="18"/>
        </w:rPr>
      </w:pPr>
      <w:bookmarkStart w:id="22" w:name="_Hlk136423818"/>
      <w:r w:rsidRPr="0087494E">
        <w:rPr>
          <w:rFonts w:cs="Arial"/>
          <w:szCs w:val="18"/>
        </w:rPr>
        <w:t xml:space="preserve">Schimbările climatice sunt un subiect de relevanță cheie pentru Grup, atât în ceea ce privește posibilul impact negativ pe care l-am generat </w:t>
      </w:r>
      <w:r w:rsidR="00776326" w:rsidRPr="0087494E">
        <w:rPr>
          <w:rFonts w:cs="Arial"/>
          <w:szCs w:val="18"/>
        </w:rPr>
        <w:t xml:space="preserve"> </w:t>
      </w:r>
      <w:r w:rsidRPr="0087494E">
        <w:rPr>
          <w:rFonts w:cs="Arial"/>
          <w:szCs w:val="18"/>
        </w:rPr>
        <w:t xml:space="preserve">în alegerile noastre de investiții, cât și în ceea ce privește  riscul </w:t>
      </w:r>
      <w:r w:rsidR="00776326" w:rsidRPr="0087494E">
        <w:rPr>
          <w:rFonts w:cs="Arial"/>
          <w:szCs w:val="18"/>
        </w:rPr>
        <w:t xml:space="preserve">schimbărilor </w:t>
      </w:r>
      <w:r w:rsidR="00961089" w:rsidRPr="0087494E">
        <w:rPr>
          <w:rFonts w:cs="Arial"/>
          <w:szCs w:val="18"/>
        </w:rPr>
        <w:t xml:space="preserve"> climatice la care sunt expuse investițiile noastre.</w:t>
      </w:r>
    </w:p>
    <w:bookmarkEnd w:id="22"/>
    <w:p w14:paraId="638CA151" w14:textId="45A5A4BC" w:rsidR="00961089" w:rsidRPr="0087494E" w:rsidRDefault="00961089" w:rsidP="00DF1BBF">
      <w:pPr>
        <w:widowControl/>
        <w:suppressAutoHyphens w:val="0"/>
        <w:autoSpaceDE w:val="0"/>
        <w:adjustRightInd w:val="0"/>
        <w:spacing w:before="0" w:after="120" w:line="276" w:lineRule="auto"/>
        <w:contextualSpacing w:val="0"/>
        <w:rPr>
          <w:rFonts w:eastAsia="Arial Regular" w:cs="Arial"/>
          <w:color w:val="auto"/>
          <w:szCs w:val="18"/>
          <w:lang w:eastAsia="en-US"/>
        </w:rPr>
      </w:pPr>
      <w:r w:rsidRPr="00174138">
        <w:rPr>
          <w:rFonts w:eastAsia="Arial Regular" w:cs="Arial"/>
          <w:color w:val="auto"/>
          <w:szCs w:val="18"/>
          <w:lang w:eastAsia="en-US"/>
        </w:rPr>
        <w:t>Grupul se angajează să promoveze tranziția către o economie cu emisii scăzute de carbon, integrând dimensiunea socială în strategia climatică și dezvăluind riscurile și oportunitățile asociate schimbărilor climatice.</w:t>
      </w:r>
    </w:p>
    <w:p w14:paraId="4938F83D" w14:textId="755CADDE" w:rsidR="00961089" w:rsidRPr="0087494E" w:rsidRDefault="00961089" w:rsidP="00DF1BBF">
      <w:pPr>
        <w:widowControl/>
        <w:suppressAutoHyphens w:val="0"/>
        <w:autoSpaceDE w:val="0"/>
        <w:adjustRightInd w:val="0"/>
        <w:spacing w:before="0" w:after="120" w:line="276" w:lineRule="auto"/>
        <w:contextualSpacing w:val="0"/>
        <w:rPr>
          <w:rFonts w:eastAsia="Arial Regular" w:cs="Arial"/>
          <w:color w:val="auto"/>
          <w:szCs w:val="18"/>
          <w:lang w:eastAsia="en-US"/>
        </w:rPr>
      </w:pPr>
      <w:r w:rsidRPr="00174138">
        <w:rPr>
          <w:rFonts w:eastAsia="Arial Regular" w:cs="Arial"/>
          <w:color w:val="auto"/>
          <w:szCs w:val="18"/>
          <w:lang w:eastAsia="en-US"/>
        </w:rPr>
        <w:t>În acest context, Strategia Grupului privind schimbările climatice definește deciziile și acțiunile întreprinse de Grup pentru a promova o tranziție echitabilă și justă din punct de vedere social către o economie cu emisii nete zero, atât ca emitent, cât și ca proprietar de active și subscriitor.</w:t>
      </w:r>
      <w:r w:rsidR="00C53D38">
        <w:rPr>
          <w:rStyle w:val="FootnoteReference"/>
          <w:rFonts w:eastAsia="Arial Regular" w:cs="Arial"/>
          <w:color w:val="auto"/>
          <w:szCs w:val="12"/>
          <w:lang w:eastAsia="en-US"/>
        </w:rPr>
        <w:footnoteReference w:id="14"/>
      </w:r>
    </w:p>
    <w:p w14:paraId="432149AF" w14:textId="7D783CB4" w:rsidR="00961089" w:rsidRPr="0087494E" w:rsidRDefault="00347DFA" w:rsidP="00DF1BBF">
      <w:pPr>
        <w:widowControl/>
        <w:suppressAutoHyphens w:val="0"/>
        <w:autoSpaceDE w:val="0"/>
        <w:adjustRightInd w:val="0"/>
        <w:spacing w:before="0" w:after="120" w:line="276" w:lineRule="auto"/>
        <w:contextualSpacing w:val="0"/>
        <w:rPr>
          <w:rFonts w:eastAsia="Arial Regular" w:cs="Arial"/>
          <w:color w:val="auto"/>
          <w:szCs w:val="18"/>
          <w:lang w:eastAsia="en-US"/>
        </w:rPr>
      </w:pPr>
      <w:r w:rsidRPr="00174138">
        <w:rPr>
          <w:rFonts w:eastAsia="Arial Regular" w:cs="Arial"/>
          <w:color w:val="auto"/>
          <w:szCs w:val="18"/>
          <w:lang w:eastAsia="en-US"/>
        </w:rPr>
        <w:t>Grupul se angajează să își tranziționeze portofoliile de investiții la zero emisii nete de gaze cu efect de seră până în 2050, în concordanță cu o creștere maximă a temperaturii de 1,5 grade Celsius peste temperaturile preindustriale, ținând cont de cele mai bune cunoștințe științifice disponibile și raportând periodic cu privire la progrese, inclusiv stabilirea unor obiective intermediare la fiecare cinci ani, în conformitate cu articolul 4.9 al Acordului de la Paris.</w:t>
      </w:r>
    </w:p>
    <w:p w14:paraId="597374EE" w14:textId="68CA09E8" w:rsidR="00B8528D" w:rsidRPr="0087494E" w:rsidRDefault="00B8528D" w:rsidP="00DF1BBF">
      <w:pPr>
        <w:spacing w:before="0" w:after="120" w:line="276" w:lineRule="auto"/>
        <w:contextualSpacing w:val="0"/>
        <w:jc w:val="both"/>
        <w:rPr>
          <w:rFonts w:cs="Arial"/>
          <w:iCs/>
          <w:szCs w:val="18"/>
        </w:rPr>
      </w:pPr>
      <w:r w:rsidRPr="00174138">
        <w:rPr>
          <w:rFonts w:cs="Arial"/>
          <w:iCs/>
          <w:szCs w:val="18"/>
        </w:rPr>
        <w:t>Pentru a-și îndeplini angajamentele privind schimbările climatice, Grupul a definit și implementat în strategia și deciziile sale de investiții o combinație a abordărilor descrise mai sus, în special:</w:t>
      </w:r>
    </w:p>
    <w:p w14:paraId="0717C6C5" w14:textId="1FB01A9D" w:rsidR="004B59BA" w:rsidRPr="00174138" w:rsidRDefault="00B8528D" w:rsidP="00DF1BBF">
      <w:pPr>
        <w:spacing w:before="0" w:after="120" w:line="276" w:lineRule="auto"/>
        <w:contextualSpacing w:val="0"/>
        <w:jc w:val="both"/>
        <w:rPr>
          <w:rFonts w:cs="Arial"/>
          <w:noProof/>
          <w:szCs w:val="18"/>
          <w:lang w:val="en-US"/>
        </w:rPr>
      </w:pPr>
      <w:r w:rsidRPr="00174138">
        <w:rPr>
          <w:rFonts w:cs="Arial"/>
          <w:noProof/>
          <w:szCs w:val="18"/>
        </w:rPr>
        <w:t>Pentru investiții directe:</w:t>
      </w:r>
    </w:p>
    <w:p w14:paraId="3571CE70" w14:textId="0589BCB4" w:rsidR="00B8528D" w:rsidRPr="00174138" w:rsidRDefault="003566B6" w:rsidP="0027780C">
      <w:pPr>
        <w:numPr>
          <w:ilvl w:val="0"/>
          <w:numId w:val="13"/>
        </w:numPr>
        <w:suppressAutoHyphens w:val="0"/>
        <w:autoSpaceDN/>
        <w:spacing w:before="0" w:after="120" w:line="276" w:lineRule="auto"/>
        <w:contextualSpacing w:val="0"/>
        <w:jc w:val="both"/>
        <w:rPr>
          <w:rFonts w:cs="Arial"/>
          <w:noProof/>
          <w:lang w:val="en-US"/>
        </w:rPr>
      </w:pPr>
      <w:r w:rsidRPr="00174138">
        <w:rPr>
          <w:rFonts w:cs="Arial"/>
          <w:noProof/>
        </w:rPr>
        <w:t>Examinarea negativă: definirea restricțiilor de investiții asupra activităților/sectoarelor/emitenților care au un impact negativ asupra schimbărilor climatice;</w:t>
      </w:r>
    </w:p>
    <w:p w14:paraId="6A096066" w14:textId="20BC8ADF" w:rsidR="00B8528D" w:rsidRPr="00174138" w:rsidRDefault="00B8528D" w:rsidP="0027780C">
      <w:pPr>
        <w:numPr>
          <w:ilvl w:val="0"/>
          <w:numId w:val="13"/>
        </w:numPr>
        <w:suppressAutoHyphens w:val="0"/>
        <w:autoSpaceDN/>
        <w:spacing w:before="0" w:after="120" w:line="276" w:lineRule="auto"/>
        <w:contextualSpacing w:val="0"/>
        <w:jc w:val="both"/>
        <w:rPr>
          <w:rFonts w:cs="Arial"/>
          <w:noProof/>
          <w:lang w:val="en-US"/>
        </w:rPr>
      </w:pPr>
      <w:r w:rsidRPr="0087494E">
        <w:rPr>
          <w:rFonts w:cs="Arial"/>
          <w:noProof/>
          <w:lang w:val="en-US"/>
        </w:rPr>
        <w:t>Screening pozitiv / integrare ESG: introducerea treptată în construcții și alocare a portofoliului, de asemenea, luarea în considerare a climei pentru a evalua sectoarele și emitenții relevanți pe baza traiectoriei lor de decarbonizare;</w:t>
      </w:r>
    </w:p>
    <w:p w14:paraId="04C40E5D" w14:textId="17BFBBF8" w:rsidR="00B8528D" w:rsidRPr="0087494E" w:rsidRDefault="00B8528D" w:rsidP="0027780C">
      <w:pPr>
        <w:numPr>
          <w:ilvl w:val="0"/>
          <w:numId w:val="13"/>
        </w:numPr>
        <w:suppressAutoHyphens w:val="0"/>
        <w:autoSpaceDN/>
        <w:spacing w:before="0" w:after="120" w:line="276" w:lineRule="auto"/>
        <w:contextualSpacing w:val="0"/>
        <w:jc w:val="both"/>
        <w:rPr>
          <w:rFonts w:cs="Arial"/>
          <w:noProof/>
        </w:rPr>
      </w:pPr>
      <w:r w:rsidRPr="00174138">
        <w:rPr>
          <w:rFonts w:cs="Arial"/>
          <w:noProof/>
        </w:rPr>
        <w:t>Investiții durabile: stabilirea de programe de investiții dedicate, în toate clasele de active, pentru a finanța companii și proiecte cu obiective clare de mediu și sociale.</w:t>
      </w:r>
    </w:p>
    <w:p w14:paraId="402249BB" w14:textId="77777777" w:rsidR="002C2426" w:rsidRPr="00174138" w:rsidRDefault="002C2426" w:rsidP="0027780C">
      <w:pPr>
        <w:numPr>
          <w:ilvl w:val="0"/>
          <w:numId w:val="13"/>
        </w:numPr>
        <w:suppressAutoHyphens w:val="0"/>
        <w:autoSpaceDN/>
        <w:spacing w:before="0" w:after="120" w:line="276" w:lineRule="auto"/>
        <w:contextualSpacing w:val="0"/>
        <w:jc w:val="both"/>
        <w:rPr>
          <w:rFonts w:cs="Arial"/>
          <w:noProof/>
          <w:lang w:val="en-US"/>
        </w:rPr>
      </w:pPr>
      <w:r w:rsidRPr="00174138">
        <w:rPr>
          <w:rFonts w:cs="Arial"/>
          <w:noProof/>
        </w:rPr>
        <w:t xml:space="preserve">Proprietate activă: </w:t>
      </w:r>
    </w:p>
    <w:p w14:paraId="7E737374" w14:textId="1731635D" w:rsidR="002C2426" w:rsidRPr="0087494E" w:rsidRDefault="002C2426" w:rsidP="0027780C">
      <w:pPr>
        <w:numPr>
          <w:ilvl w:val="1"/>
          <w:numId w:val="17"/>
        </w:numPr>
        <w:autoSpaceDN/>
        <w:spacing w:before="0" w:after="120" w:line="276" w:lineRule="auto"/>
        <w:contextualSpacing w:val="0"/>
        <w:jc w:val="both"/>
        <w:rPr>
          <w:rFonts w:cs="Arial"/>
          <w:noProof/>
        </w:rPr>
      </w:pPr>
      <w:r w:rsidRPr="00174138">
        <w:rPr>
          <w:rFonts w:cs="Arial"/>
          <w:noProof/>
        </w:rPr>
        <w:t xml:space="preserve">stabilirea unor obiective de </w:t>
      </w:r>
      <w:r w:rsidR="009E44D3">
        <w:rPr>
          <w:rFonts w:cs="Arial"/>
          <w:noProof/>
        </w:rPr>
        <w:t xml:space="preserve">angajamnet </w:t>
      </w:r>
      <w:r w:rsidRPr="00174138">
        <w:rPr>
          <w:rFonts w:cs="Arial"/>
          <w:noProof/>
        </w:rPr>
        <w:t>pentru companiile din portofoliu care reprezintă cele mai mari emisii de CO2 pentru a influența planul lor de tranziție către o lume cu zero emisii nete până în 2050;</w:t>
      </w:r>
    </w:p>
    <w:p w14:paraId="4F5E3826" w14:textId="511A3A95" w:rsidR="002C2426" w:rsidRPr="0087494E" w:rsidRDefault="002C2426" w:rsidP="0027780C">
      <w:pPr>
        <w:numPr>
          <w:ilvl w:val="1"/>
          <w:numId w:val="17"/>
        </w:numPr>
        <w:autoSpaceDN/>
        <w:spacing w:before="0" w:after="120" w:line="276" w:lineRule="auto"/>
        <w:contextualSpacing w:val="0"/>
        <w:jc w:val="both"/>
        <w:rPr>
          <w:rFonts w:cs="Arial"/>
          <w:noProof/>
        </w:rPr>
      </w:pPr>
      <w:r w:rsidRPr="00174138">
        <w:rPr>
          <w:rFonts w:cs="Arial"/>
          <w:noProof/>
        </w:rPr>
        <w:t>alinierea principiilor de vot ale Grupului cu angajamentul de zero emisii nete și utilizarea voturilor pentru a trage la răspundere companiile atunci când nu fac progrese satisfăcătoare în abordarea schimbărilor climatice sau în sprijinirea atenuării schimbărilor climatice.</w:t>
      </w:r>
    </w:p>
    <w:p w14:paraId="0DCA7A7F" w14:textId="2C550F38" w:rsidR="00F814CA" w:rsidRPr="0087494E" w:rsidRDefault="00B8528D" w:rsidP="00F814CA">
      <w:pPr>
        <w:suppressAutoHyphens w:val="0"/>
        <w:autoSpaceDN/>
        <w:spacing w:before="0" w:after="120" w:line="276" w:lineRule="auto"/>
        <w:contextualSpacing w:val="0"/>
        <w:jc w:val="both"/>
        <w:rPr>
          <w:rFonts w:cs="Arial"/>
          <w:color w:val="auto"/>
          <w:szCs w:val="18"/>
        </w:rPr>
      </w:pPr>
      <w:r w:rsidRPr="00174138">
        <w:rPr>
          <w:rFonts w:cs="Arial"/>
        </w:rPr>
        <w:t xml:space="preserve">Pentru investițiile indirecte: definirea și actualizarea periodică a criteriilor ESG pentru selectarea și monitorizarea administratorilor de active/fondurilor care integrează obiective adecvate legate de climă în strategia lor de investiții și oferă un nivel adecvat de </w:t>
      </w:r>
      <w:r w:rsidRPr="00174138">
        <w:rPr>
          <w:rFonts w:cs="Arial"/>
        </w:rPr>
        <w:lastRenderedPageBreak/>
        <w:t xml:space="preserve">transparență și dezvăluire. </w:t>
      </w:r>
    </w:p>
    <w:p w14:paraId="7ADAE22B" w14:textId="77777777" w:rsidR="0092620B" w:rsidRPr="0087494E" w:rsidRDefault="0092620B" w:rsidP="00DF1BBF">
      <w:pPr>
        <w:widowControl/>
        <w:suppressAutoHyphens w:val="0"/>
        <w:autoSpaceDN/>
        <w:spacing w:before="0" w:after="120" w:line="276" w:lineRule="auto"/>
        <w:contextualSpacing w:val="0"/>
        <w:rPr>
          <w:rFonts w:cs="Arial"/>
        </w:rPr>
      </w:pPr>
    </w:p>
    <w:p w14:paraId="7F959C88" w14:textId="15456AE2" w:rsidR="0092620B" w:rsidRPr="0087494E" w:rsidRDefault="0092620B" w:rsidP="00DF1BBF">
      <w:pPr>
        <w:widowControl/>
        <w:suppressAutoHyphens w:val="0"/>
        <w:autoSpaceDN/>
        <w:spacing w:before="0" w:after="120" w:line="276" w:lineRule="auto"/>
        <w:contextualSpacing w:val="0"/>
        <w:rPr>
          <w:rFonts w:cs="Arial"/>
          <w:b/>
          <w:bCs/>
        </w:rPr>
      </w:pPr>
      <w:r w:rsidRPr="00174138">
        <w:rPr>
          <w:rFonts w:cs="Arial"/>
          <w:b/>
          <w:bCs/>
        </w:rPr>
        <w:t>Indicatori principali suplimentari de impact negativ</w:t>
      </w:r>
    </w:p>
    <w:p w14:paraId="1EC4F1FC" w14:textId="7C2D33D5" w:rsidR="00C14D55" w:rsidRPr="0087494E" w:rsidRDefault="000E792A" w:rsidP="00DF1BBF">
      <w:pPr>
        <w:suppressAutoHyphens w:val="0"/>
        <w:autoSpaceDN/>
        <w:spacing w:before="0" w:after="120" w:line="276" w:lineRule="auto"/>
        <w:contextualSpacing w:val="0"/>
        <w:jc w:val="both"/>
        <w:rPr>
          <w:rFonts w:cs="Arial"/>
        </w:rPr>
      </w:pPr>
      <w:r w:rsidRPr="00174138">
        <w:rPr>
          <w:rFonts w:cs="Arial"/>
        </w:rPr>
        <w:t>În ceea ce privește cei doi indicatori principali de impact negativ suplimentari solicitați de Reg. UE 2019/2088, Grupul a selectat acei indicatori cei mai aliniați cu factorii de sustenabilitate relevanți și semnificativi pentru investițiile sale (prin urmare, gestionați prin abordările de încorporare ESG descrise mai sus), luând în considerare și disponibilitatea datelor. Ca rezultat al acestei evaluări, grupul a selectat</w:t>
      </w:r>
      <w:r w:rsidR="00725B23" w:rsidRPr="00174138">
        <w:rPr>
          <w:rFonts w:cs="Arial"/>
          <w:noProof/>
        </w:rPr>
        <w:t xml:space="preserve"> următorii doi indicatori:</w:t>
      </w:r>
    </w:p>
    <w:p w14:paraId="25B4858A" w14:textId="5454BBC6" w:rsidR="009F4C40" w:rsidRPr="00174138" w:rsidRDefault="00EF1371" w:rsidP="0027780C">
      <w:pPr>
        <w:numPr>
          <w:ilvl w:val="0"/>
          <w:numId w:val="13"/>
        </w:numPr>
        <w:suppressAutoHyphens w:val="0"/>
        <w:autoSpaceDN/>
        <w:spacing w:before="0" w:after="120" w:line="276" w:lineRule="auto"/>
        <w:contextualSpacing w:val="0"/>
        <w:jc w:val="both"/>
        <w:rPr>
          <w:rFonts w:cs="Arial"/>
          <w:noProof/>
          <w:lang w:val="en-US"/>
        </w:rPr>
      </w:pPr>
      <w:r w:rsidRPr="00174138">
        <w:rPr>
          <w:rFonts w:cs="Arial"/>
          <w:noProof/>
        </w:rPr>
        <w:t xml:space="preserve">Tabelul 2 – Indicatori suplimentari legați de climă și de mediu (indicatori aplicabili investițiilor în societățile în care s-a investit): </w:t>
      </w:r>
      <w:r w:rsidR="0092620B" w:rsidRPr="00174138">
        <w:rPr>
          <w:rFonts w:cs="Arial"/>
          <w:u w:val="single"/>
        </w:rPr>
        <w:t>N.4. Investiții în companii fără inițiative de reducere a emisiilor de carbon</w:t>
      </w:r>
    </w:p>
    <w:p w14:paraId="49D4DC3C" w14:textId="0EC61130" w:rsidR="005C627D" w:rsidRPr="00174138" w:rsidRDefault="007D2B78" w:rsidP="0027780C">
      <w:pPr>
        <w:numPr>
          <w:ilvl w:val="0"/>
          <w:numId w:val="13"/>
        </w:numPr>
        <w:suppressAutoHyphens w:val="0"/>
        <w:autoSpaceDN/>
        <w:spacing w:before="0" w:after="120" w:line="276" w:lineRule="auto"/>
        <w:contextualSpacing w:val="0"/>
        <w:jc w:val="both"/>
        <w:rPr>
          <w:rFonts w:cs="Arial"/>
          <w:noProof/>
          <w:lang w:val="en-US"/>
        </w:rPr>
      </w:pPr>
      <w:r w:rsidRPr="00174138">
        <w:rPr>
          <w:rFonts w:cs="Arial"/>
          <w:noProof/>
        </w:rPr>
        <w:t xml:space="preserve">Tabelul 3 - Indicatori suplimentari pentru probleme sociale și de angajați, respectarea drepturilor omului, anticorupție și antimită (indicatori aplicabili investițiilor în suverane și supranaționale): </w:t>
      </w:r>
      <w:r w:rsidR="0092620B" w:rsidRPr="00174138">
        <w:rPr>
          <w:rFonts w:cs="Arial"/>
          <w:u w:val="single"/>
        </w:rPr>
        <w:t xml:space="preserve">Nr. 22. Jurisdicții fiscale necooperante. </w:t>
      </w:r>
    </w:p>
    <w:p w14:paraId="256DC806" w14:textId="77777777" w:rsidR="00FD247A" w:rsidRPr="00174138" w:rsidRDefault="00FD247A" w:rsidP="00DF1BBF">
      <w:pPr>
        <w:suppressAutoHyphens w:val="0"/>
        <w:autoSpaceDN/>
        <w:spacing w:before="0" w:after="120" w:line="276" w:lineRule="auto"/>
        <w:contextualSpacing w:val="0"/>
        <w:jc w:val="both"/>
        <w:rPr>
          <w:rFonts w:cs="Arial"/>
          <w:color w:val="0070C0"/>
          <w:szCs w:val="18"/>
          <w:lang w:val="en"/>
        </w:rPr>
      </w:pPr>
    </w:p>
    <w:p w14:paraId="2C39CFBF" w14:textId="5F30CDD8" w:rsidR="002A6CB9" w:rsidRPr="0087494E" w:rsidRDefault="002A6CB9" w:rsidP="00DF1BBF">
      <w:pPr>
        <w:widowControl/>
        <w:suppressAutoHyphens w:val="0"/>
        <w:autoSpaceDN/>
        <w:spacing w:before="0" w:after="120" w:line="276" w:lineRule="auto"/>
        <w:contextualSpacing w:val="0"/>
        <w:rPr>
          <w:rFonts w:cs="Arial"/>
          <w:b/>
          <w:i/>
        </w:rPr>
      </w:pPr>
      <w:r w:rsidRPr="00174138">
        <w:rPr>
          <w:rFonts w:cs="Arial"/>
          <w:b/>
          <w:i/>
        </w:rPr>
        <w:t>Sursele de date, domeniul de aplicare și limitările generale pentru principalele cifre ale impactului negativ dezvăluite.</w:t>
      </w:r>
    </w:p>
    <w:p w14:paraId="3DD8F06E" w14:textId="328E3421" w:rsidR="00A709DC" w:rsidRPr="0087494E" w:rsidRDefault="00811809" w:rsidP="00DF1BBF">
      <w:pPr>
        <w:suppressAutoHyphens w:val="0"/>
        <w:autoSpaceDN/>
        <w:spacing w:before="0" w:after="120" w:line="276" w:lineRule="auto"/>
        <w:contextualSpacing w:val="0"/>
        <w:jc w:val="both"/>
        <w:rPr>
          <w:rFonts w:cs="Arial"/>
          <w:color w:val="auto"/>
          <w:szCs w:val="18"/>
        </w:rPr>
      </w:pPr>
      <w:bookmarkStart w:id="23" w:name="_Hlk136857330"/>
      <w:r w:rsidRPr="00174138">
        <w:rPr>
          <w:rFonts w:cs="Arial"/>
          <w:color w:val="auto"/>
          <w:szCs w:val="18"/>
        </w:rPr>
        <w:t xml:space="preserve">În sensul prezentei </w:t>
      </w:r>
      <w:r w:rsidR="00584DEC" w:rsidRPr="00174138">
        <w:rPr>
          <w:rFonts w:cs="Arial"/>
          <w:color w:val="auto"/>
          <w:szCs w:val="18"/>
        </w:rPr>
        <w:t xml:space="preserve">declarații, și în special pentru calcularea cifrelor PAI, Generali a depus toate eforturile pentru a calcula </w:t>
      </w:r>
      <w:r w:rsidR="00530717">
        <w:rPr>
          <w:rFonts w:cs="Arial"/>
          <w:color w:val="auto"/>
          <w:szCs w:val="18"/>
        </w:rPr>
        <w:t>și raporta</w:t>
      </w:r>
      <w:r w:rsidR="00864AE2" w:rsidRPr="00174138">
        <w:rPr>
          <w:rFonts w:cs="Arial"/>
          <w:color w:val="auto"/>
          <w:szCs w:val="18"/>
        </w:rPr>
        <w:t xml:space="preserve"> valorile pentru fiecare indicator. Ca Grup, am creat o soluție de raportare care îndeplinește cerințele exprimate în prezent ale reglementărilor, ținând cont de limitările întâmpinate, cum ar fi disponibilitatea datelor</w:t>
      </w:r>
      <w:bookmarkEnd w:id="23"/>
      <w:r w:rsidR="00411A23" w:rsidRPr="005E5F9E">
        <w:rPr>
          <w:rFonts w:cs="Arial"/>
          <w:color w:val="auto"/>
          <w:szCs w:val="18"/>
        </w:rPr>
        <w:t>, calitatea</w:t>
      </w:r>
      <w:r w:rsidR="00047EEA" w:rsidRPr="005E5F9E">
        <w:rPr>
          <w:rFonts w:cs="Arial"/>
          <w:color w:val="auto"/>
          <w:szCs w:val="18"/>
        </w:rPr>
        <w:t xml:space="preserve"> și subiectele de interpretare a reglementărilor, precum și dependența de furnizori externi atât în ceea ce privește datele cât și soluțiile de raportare. În 2025</w:t>
      </w:r>
      <w:r w:rsidR="00E81A79" w:rsidRPr="005E5F9E">
        <w:rPr>
          <w:rFonts w:cs="Arial"/>
          <w:color w:val="auto"/>
          <w:szCs w:val="18"/>
        </w:rPr>
        <w:t xml:space="preserve"> și în viitor, intenționăm să  îmbunătățim </w:t>
      </w:r>
      <w:r w:rsidR="00CD21AB" w:rsidRPr="005E5F9E">
        <w:rPr>
          <w:rFonts w:cs="Arial"/>
          <w:color w:val="auto"/>
          <w:szCs w:val="18"/>
        </w:rPr>
        <w:t xml:space="preserve">în continuare </w:t>
      </w:r>
      <w:r w:rsidR="000F02F1" w:rsidRPr="005E5F9E">
        <w:rPr>
          <w:rFonts w:cs="Arial"/>
          <w:color w:val="auto"/>
          <w:szCs w:val="18"/>
        </w:rPr>
        <w:t xml:space="preserve">raportarea, luând legătura și cu furnizorii de date pentru a crește acoperirea și a ne dezvolta în continuare metodologia, în conformitate cu instrucțiunile regulamentului pentru a oferi o imagine de ansamblu a expunerii portofoliului nostru la impacturi negative. </w:t>
      </w:r>
    </w:p>
    <w:p w14:paraId="57C931D1" w14:textId="77777777" w:rsidR="00A709DC" w:rsidRPr="0087494E" w:rsidRDefault="00A709DC" w:rsidP="00DF1BBF">
      <w:pPr>
        <w:suppressAutoHyphens w:val="0"/>
        <w:autoSpaceDN/>
        <w:spacing w:before="0" w:after="120" w:line="276" w:lineRule="auto"/>
        <w:contextualSpacing w:val="0"/>
        <w:jc w:val="both"/>
        <w:rPr>
          <w:rFonts w:cs="Arial"/>
          <w:color w:val="auto"/>
          <w:szCs w:val="18"/>
        </w:rPr>
      </w:pPr>
    </w:p>
    <w:p w14:paraId="2FAC152B" w14:textId="0D1FD147" w:rsidR="005E1A65" w:rsidRPr="0087494E" w:rsidRDefault="009F106F" w:rsidP="00DF1BBF">
      <w:pPr>
        <w:suppressAutoHyphens w:val="0"/>
        <w:autoSpaceDN/>
        <w:spacing w:before="0" w:after="120" w:line="276" w:lineRule="auto"/>
        <w:contextualSpacing w:val="0"/>
        <w:jc w:val="both"/>
        <w:rPr>
          <w:rFonts w:cs="Arial"/>
          <w:b/>
          <w:bCs/>
          <w:color w:val="auto"/>
          <w:szCs w:val="18"/>
        </w:rPr>
      </w:pPr>
      <w:r w:rsidRPr="00174138">
        <w:rPr>
          <w:rFonts w:cs="Arial"/>
          <w:b/>
          <w:color w:val="auto"/>
          <w:szCs w:val="18"/>
        </w:rPr>
        <w:t>Surse de date</w:t>
      </w:r>
    </w:p>
    <w:p w14:paraId="0CC15430" w14:textId="202F32AE" w:rsidR="009F106F" w:rsidRPr="00174138" w:rsidRDefault="009F106F" w:rsidP="00DF1BBF">
      <w:pPr>
        <w:suppressAutoHyphens w:val="0"/>
        <w:autoSpaceDN/>
        <w:spacing w:before="0" w:after="120" w:line="276" w:lineRule="auto"/>
        <w:contextualSpacing w:val="0"/>
        <w:jc w:val="both"/>
        <w:rPr>
          <w:rFonts w:cs="Arial"/>
          <w:color w:val="auto"/>
          <w:szCs w:val="18"/>
          <w:lang w:val="en"/>
        </w:rPr>
      </w:pPr>
      <w:r w:rsidRPr="00174138">
        <w:rPr>
          <w:rFonts w:cs="Arial"/>
          <w:color w:val="auto"/>
          <w:szCs w:val="18"/>
        </w:rPr>
        <w:t>Generali se bazează în principal pe furnizorii externi de date pentru calcularea PAI-urilor prezentate în acest raport. Special:</w:t>
      </w:r>
    </w:p>
    <w:p w14:paraId="71D06C2F" w14:textId="0BD94BD5" w:rsidR="00776724" w:rsidRPr="0087494E" w:rsidRDefault="0011593E" w:rsidP="0027780C">
      <w:pPr>
        <w:numPr>
          <w:ilvl w:val="0"/>
          <w:numId w:val="13"/>
        </w:numPr>
        <w:suppressAutoHyphens w:val="0"/>
        <w:autoSpaceDN/>
        <w:spacing w:before="0" w:after="120" w:line="276" w:lineRule="auto"/>
        <w:contextualSpacing w:val="0"/>
        <w:jc w:val="both"/>
        <w:rPr>
          <w:rFonts w:cs="Arial"/>
        </w:rPr>
      </w:pPr>
      <w:r w:rsidRPr="00174138">
        <w:rPr>
          <w:rFonts w:cs="Arial"/>
        </w:rPr>
        <w:t>pentru PAI pentru investiții corporative și suverane</w:t>
      </w:r>
      <w:r w:rsidR="007743A4">
        <w:rPr>
          <w:rFonts w:cs="Arial"/>
        </w:rPr>
        <w:t xml:space="preserve">, </w:t>
      </w:r>
      <w:r w:rsidR="002B482C">
        <w:rPr>
          <w:rFonts w:cs="Arial"/>
        </w:rPr>
        <w:t xml:space="preserve"> </w:t>
      </w:r>
      <w:r w:rsidR="00F638F4" w:rsidRPr="00174138">
        <w:rPr>
          <w:rFonts w:cs="Arial"/>
        </w:rPr>
        <w:t xml:space="preserve">Generali </w:t>
      </w:r>
      <w:r w:rsidR="000127AE">
        <w:rPr>
          <w:rFonts w:cs="Arial"/>
        </w:rPr>
        <w:t>aplică o combinație de abordări diferite pentru calculul PAI,</w:t>
      </w:r>
      <w:r w:rsidR="00F90EBE">
        <w:rPr>
          <w:rFonts w:cs="Arial"/>
        </w:rPr>
        <w:t xml:space="preserve"> bazându-se atât pe </w:t>
      </w:r>
      <w:r w:rsidR="00776724">
        <w:rPr>
          <w:rFonts w:cs="Arial"/>
        </w:rPr>
        <w:t xml:space="preserve"> date interne, cât și </w:t>
      </w:r>
      <w:r w:rsidR="00F90EBE">
        <w:rPr>
          <w:rFonts w:cs="Arial"/>
        </w:rPr>
        <w:t>pe date externe</w:t>
      </w:r>
      <w:r w:rsidR="00776724">
        <w:rPr>
          <w:rFonts w:cs="Arial"/>
        </w:rPr>
        <w:t>; în special:</w:t>
      </w:r>
    </w:p>
    <w:p w14:paraId="357014D2" w14:textId="2A3EEB32" w:rsidR="00CF536A" w:rsidRPr="0087494E" w:rsidRDefault="007743A4" w:rsidP="007755CD">
      <w:pPr>
        <w:numPr>
          <w:ilvl w:val="1"/>
          <w:numId w:val="13"/>
        </w:numPr>
        <w:suppressAutoHyphens w:val="0"/>
        <w:autoSpaceDN/>
        <w:spacing w:before="0" w:after="120" w:line="276" w:lineRule="auto"/>
        <w:contextualSpacing w:val="0"/>
        <w:jc w:val="both"/>
        <w:rPr>
          <w:rFonts w:cs="Arial"/>
        </w:rPr>
      </w:pPr>
      <w:r>
        <w:rPr>
          <w:rFonts w:cs="Arial"/>
        </w:rPr>
        <w:t xml:space="preserve">Pentru a obține </w:t>
      </w:r>
      <w:r w:rsidR="007755CD">
        <w:rPr>
          <w:rFonts w:cs="Arial"/>
        </w:rPr>
        <w:t>compoziția portofoliului de investiții</w:t>
      </w:r>
      <w:r w:rsidR="000614A2">
        <w:rPr>
          <w:rFonts w:cs="Arial"/>
        </w:rPr>
        <w:t xml:space="preserve">: în ceea ce privește investițiile directe, </w:t>
      </w:r>
      <w:r w:rsidR="007755CD">
        <w:rPr>
          <w:rFonts w:cs="Arial"/>
        </w:rPr>
        <w:t>se utilizează date interne</w:t>
      </w:r>
      <w:r w:rsidR="00EB21E3">
        <w:rPr>
          <w:rFonts w:cs="Arial"/>
        </w:rPr>
        <w:t>.</w:t>
      </w:r>
      <w:r w:rsidR="000614A2">
        <w:rPr>
          <w:rFonts w:cs="Arial"/>
        </w:rPr>
        <w:t xml:space="preserve"> În ceea ce privește investițiile indirecte (fonduri), disponibile</w:t>
      </w:r>
      <w:r w:rsidR="007755CD">
        <w:rPr>
          <w:rFonts w:cs="Arial"/>
        </w:rPr>
        <w:t>aici</w:t>
      </w:r>
      <w:r w:rsidR="0026789A">
        <w:rPr>
          <w:rFonts w:cs="Arial"/>
        </w:rPr>
        <w:t xml:space="preserve"> pe o abordare retrospectivă, </w:t>
      </w:r>
      <w:r w:rsidR="00EB21E3">
        <w:rPr>
          <w:rFonts w:cs="Arial"/>
        </w:rPr>
        <w:t>sunt utilizate date interne. Acolo unde nu</w:t>
      </w:r>
      <w:r w:rsidR="005131BA">
        <w:rPr>
          <w:rFonts w:cs="Arial"/>
        </w:rPr>
        <w:t xml:space="preserve">este disponibil intern,  compoziția portofoliului </w:t>
      </w:r>
      <w:r w:rsidR="005573BE">
        <w:rPr>
          <w:rFonts w:cs="Arial"/>
        </w:rPr>
        <w:t>f</w:t>
      </w:r>
      <w:r w:rsidR="00CF536A">
        <w:rPr>
          <w:rFonts w:cs="Arial"/>
        </w:rPr>
        <w:t xml:space="preserve">unds este obținută de </w:t>
      </w:r>
      <w:r w:rsidR="009E053F">
        <w:rPr>
          <w:rFonts w:cs="Arial"/>
        </w:rPr>
        <w:t>Morningstar</w:t>
      </w:r>
      <w:r w:rsidR="00CF536A">
        <w:rPr>
          <w:rFonts w:cs="Arial"/>
        </w:rPr>
        <w:t xml:space="preserve">. </w:t>
      </w:r>
    </w:p>
    <w:p w14:paraId="3B6C85F6" w14:textId="4AD19536" w:rsidR="0030264F" w:rsidRPr="0087494E" w:rsidRDefault="0051667B" w:rsidP="001A5335">
      <w:pPr>
        <w:numPr>
          <w:ilvl w:val="1"/>
          <w:numId w:val="13"/>
        </w:numPr>
        <w:suppressAutoHyphens w:val="0"/>
        <w:autoSpaceDN/>
        <w:spacing w:before="0" w:after="120" w:line="276" w:lineRule="auto"/>
        <w:contextualSpacing w:val="0"/>
        <w:jc w:val="both"/>
        <w:rPr>
          <w:rFonts w:cs="Arial"/>
        </w:rPr>
      </w:pPr>
      <w:r w:rsidRPr="0030264F">
        <w:rPr>
          <w:rFonts w:cs="Arial"/>
        </w:rPr>
        <w:t>Datele și cercetările ESG provin de la MSCI.</w:t>
      </w:r>
      <w:r w:rsidR="0030264F" w:rsidRPr="0030264F">
        <w:rPr>
          <w:rFonts w:cs="Arial"/>
        </w:rPr>
        <w:t xml:space="preserve"> </w:t>
      </w:r>
    </w:p>
    <w:p w14:paraId="2F08A050" w14:textId="4107DD3C" w:rsidR="0045016B" w:rsidRPr="0087494E" w:rsidRDefault="00CF75BD" w:rsidP="00667CC2">
      <w:pPr>
        <w:numPr>
          <w:ilvl w:val="1"/>
          <w:numId w:val="13"/>
        </w:numPr>
        <w:suppressAutoHyphens w:val="0"/>
        <w:autoSpaceDN/>
        <w:spacing w:before="0" w:after="120" w:line="276" w:lineRule="auto"/>
        <w:contextualSpacing w:val="0"/>
        <w:jc w:val="both"/>
        <w:rPr>
          <w:rFonts w:cs="Arial"/>
        </w:rPr>
      </w:pPr>
      <w:r>
        <w:rPr>
          <w:rFonts w:cs="Arial"/>
        </w:rPr>
        <w:t>În plus, în ceea ce privește fondurile, pentru</w:t>
      </w:r>
      <w:r w:rsidR="00B0743A">
        <w:rPr>
          <w:rFonts w:cs="Arial"/>
        </w:rPr>
        <w:t xml:space="preserve">a maximiza depășirea cpentru calculul PAI-urilor, Generali folosește și </w:t>
      </w:r>
      <w:r w:rsidR="00877AAA">
        <w:rPr>
          <w:rFonts w:cs="Arial"/>
        </w:rPr>
        <w:t>datele ESG Template europene (EET) colectate de Morningstar.</w:t>
      </w:r>
    </w:p>
    <w:p w14:paraId="4A40662B" w14:textId="6FA243C2" w:rsidR="006A3A26" w:rsidRPr="0087494E" w:rsidRDefault="003C14FF" w:rsidP="0027780C">
      <w:pPr>
        <w:numPr>
          <w:ilvl w:val="0"/>
          <w:numId w:val="13"/>
        </w:numPr>
        <w:suppressAutoHyphens w:val="0"/>
        <w:autoSpaceDN/>
        <w:spacing w:before="0" w:after="120" w:line="276" w:lineRule="auto"/>
        <w:contextualSpacing w:val="0"/>
        <w:jc w:val="both"/>
        <w:rPr>
          <w:rFonts w:cs="Arial"/>
        </w:rPr>
      </w:pPr>
      <w:r>
        <w:rPr>
          <w:rFonts w:cs="Arial"/>
        </w:rPr>
        <w:t>În</w:t>
      </w:r>
      <w:r w:rsidR="00163D1E" w:rsidRPr="00174138">
        <w:rPr>
          <w:rFonts w:cs="Arial"/>
        </w:rPr>
        <w:t>cazul în care există o legătură precisă cu abordarea de examinare negativă</w:t>
      </w:r>
      <w:r w:rsidR="00B530BA">
        <w:rPr>
          <w:rFonts w:cs="Arial"/>
        </w:rPr>
        <w:t xml:space="preserve"> a Generali</w:t>
      </w:r>
      <w:r w:rsidR="00303A8D" w:rsidRPr="00174138">
        <w:rPr>
          <w:rFonts w:cs="Arial"/>
        </w:rPr>
        <w:t xml:space="preserve"> (PAI 10 – 14 – 16),</w:t>
      </w:r>
      <w:r w:rsidR="00DF7AD2">
        <w:rPr>
          <w:rFonts w:cs="Arial"/>
        </w:rPr>
        <w:t xml:space="preserve"> se aplică aceeași abordare ca și pentru alte PAI</w:t>
      </w:r>
      <w:r w:rsidR="003E4CE2">
        <w:rPr>
          <w:rFonts w:cs="Arial"/>
        </w:rPr>
        <w:t>,</w:t>
      </w:r>
      <w:r w:rsidR="00DF7AD2">
        <w:rPr>
          <w:rFonts w:cs="Arial"/>
        </w:rPr>
        <w:t xml:space="preserve"> cu două </w:t>
      </w:r>
      <w:r w:rsidR="007743A4">
        <w:rPr>
          <w:rFonts w:cs="Arial"/>
        </w:rPr>
        <w:t xml:space="preserve"> diferențe </w:t>
      </w:r>
      <w:r w:rsidR="00F62E09">
        <w:rPr>
          <w:rFonts w:cs="Arial"/>
        </w:rPr>
        <w:t>principale</w:t>
      </w:r>
      <w:r w:rsidR="0006405B">
        <w:rPr>
          <w:rFonts w:cs="Arial"/>
        </w:rPr>
        <w:t>:</w:t>
      </w:r>
    </w:p>
    <w:p w14:paraId="7C998C17" w14:textId="39A99366" w:rsidR="00A60101" w:rsidRPr="0087494E" w:rsidRDefault="003C14FF" w:rsidP="006A3A26">
      <w:pPr>
        <w:numPr>
          <w:ilvl w:val="1"/>
          <w:numId w:val="13"/>
        </w:numPr>
        <w:suppressAutoHyphens w:val="0"/>
        <w:autoSpaceDN/>
        <w:spacing w:before="0" w:after="120" w:line="276" w:lineRule="auto"/>
        <w:contextualSpacing w:val="0"/>
        <w:jc w:val="both"/>
        <w:rPr>
          <w:rFonts w:cs="Arial"/>
        </w:rPr>
      </w:pPr>
      <w:r>
        <w:rPr>
          <w:rFonts w:cs="Arial"/>
        </w:rPr>
        <w:t xml:space="preserve">Emitenții (corporativi și suverani) sunt marcați în funcție de dovezile și evaluările interne efectuate pentru </w:t>
      </w:r>
      <w:r w:rsidR="007A2704">
        <w:rPr>
          <w:rFonts w:cs="Arial"/>
        </w:rPr>
        <w:t>procesul de screening negativ al Grupului;</w:t>
      </w:r>
    </w:p>
    <w:p w14:paraId="2392C41B" w14:textId="32CA849E" w:rsidR="000923A6" w:rsidRPr="0087494E" w:rsidRDefault="00F60F9F" w:rsidP="006A3A26">
      <w:pPr>
        <w:numPr>
          <w:ilvl w:val="1"/>
          <w:numId w:val="13"/>
        </w:numPr>
        <w:suppressAutoHyphens w:val="0"/>
        <w:autoSpaceDN/>
        <w:spacing w:before="0" w:after="120" w:line="276" w:lineRule="auto"/>
        <w:contextualSpacing w:val="0"/>
        <w:jc w:val="both"/>
        <w:rPr>
          <w:rFonts w:cs="Arial"/>
        </w:rPr>
      </w:pPr>
      <w:r>
        <w:rPr>
          <w:rFonts w:cs="Arial"/>
        </w:rPr>
        <w:t>EET nu sunt încă utilizate ca sursă</w:t>
      </w:r>
      <w:r w:rsidR="004731AC">
        <w:rPr>
          <w:rFonts w:cs="Arial"/>
        </w:rPr>
        <w:t>, în așteptarea unor investigații suplimentare privind aspectele legate de calitatea datelor</w:t>
      </w:r>
      <w:r w:rsidR="00F016E1">
        <w:rPr>
          <w:rFonts w:cs="Arial"/>
        </w:rPr>
        <w:t xml:space="preserve"> </w:t>
      </w:r>
      <w:r w:rsidR="004731AC">
        <w:rPr>
          <w:rFonts w:cs="Arial"/>
        </w:rPr>
        <w:t xml:space="preserve"> și metodologiile utilizate de administratorul de active în dosarele lor EET</w:t>
      </w:r>
      <w:r w:rsidR="00163D1E" w:rsidRPr="00174138">
        <w:rPr>
          <w:rFonts w:cs="Arial"/>
        </w:rPr>
        <w:t xml:space="preserve">. </w:t>
      </w:r>
    </w:p>
    <w:p w14:paraId="40C62C54" w14:textId="77777777" w:rsidR="000923A6" w:rsidRPr="0087494E" w:rsidRDefault="000923A6" w:rsidP="000923A6">
      <w:pPr>
        <w:numPr>
          <w:ilvl w:val="0"/>
          <w:numId w:val="13"/>
        </w:numPr>
        <w:suppressAutoHyphens w:val="0"/>
        <w:autoSpaceDN/>
        <w:spacing w:before="0" w:after="120" w:line="276" w:lineRule="auto"/>
        <w:contextualSpacing w:val="0"/>
        <w:jc w:val="both"/>
        <w:rPr>
          <w:rFonts w:cs="Arial"/>
        </w:rPr>
      </w:pPr>
      <w:r w:rsidRPr="00174138">
        <w:rPr>
          <w:rFonts w:cs="Arial"/>
        </w:rPr>
        <w:t xml:space="preserve">Pentru PAI pe imobiliare: Generali se bazează pe PAI-urile colectate de Generali Real Estate în numele companiilor de asigurări. </w:t>
      </w:r>
    </w:p>
    <w:p w14:paraId="385B70E8" w14:textId="40A5614E" w:rsidR="00F638F4" w:rsidRPr="0087494E" w:rsidRDefault="0082665C" w:rsidP="00667CC2">
      <w:pPr>
        <w:suppressAutoHyphens w:val="0"/>
        <w:autoSpaceDN/>
        <w:spacing w:before="0" w:after="120" w:line="276" w:lineRule="auto"/>
        <w:contextualSpacing w:val="0"/>
        <w:jc w:val="both"/>
        <w:rPr>
          <w:rFonts w:cs="Arial"/>
        </w:rPr>
      </w:pPr>
      <w:r w:rsidRPr="00174138">
        <w:rPr>
          <w:rFonts w:cs="Arial"/>
        </w:rPr>
        <w:t>Colaborăm în mod regulat cu furnizorii externi și cu alte părți interesate pentru a ne aprofunda înțelegerea cerințelor de reglementare și pentru a sugera îmbunătățiri ale abordării, dar ne-am bazat</w:t>
      </w:r>
      <w:r w:rsidR="00E13A80">
        <w:rPr>
          <w:rFonts w:cs="Arial"/>
        </w:rPr>
        <w:t xml:space="preserve"> și</w:t>
      </w:r>
      <w:r w:rsidR="003C26DB" w:rsidRPr="00174138">
        <w:rPr>
          <w:rFonts w:cs="Arial"/>
        </w:rPr>
        <w:t xml:space="preserve"> pe interpretarea de reglementare a furnizorilor externi</w:t>
      </w:r>
      <w:r w:rsidR="0019666D" w:rsidRPr="00174138">
        <w:rPr>
          <w:rFonts w:cs="Arial"/>
        </w:rPr>
        <w:t xml:space="preserve"> atunci când vine vorba de detalii tehnice, cum ar fi aplicarea formulelor pentru calculul PAI și utilizarea estimărilor în setul de date. Generali s-a bazat, de asemenea, pe disponibilitatea datelor publicate de companii și colectate de furnizorul de date. În unele cazuri, companiile nu dezvăluie în mod obișnuit informațiile necesare pentru calculul PAI (sau furnizorul de date nu le are la dispoziție prin intermediul platformei lor de raportare), ceea ce poate duce la o acoperire scăzută a portofoliului unora dintre </w:t>
      </w:r>
      <w:r w:rsidR="0019666D" w:rsidRPr="00174138">
        <w:rPr>
          <w:rFonts w:cs="Arial"/>
        </w:rPr>
        <w:lastRenderedPageBreak/>
        <w:t>PAI. În astfel de cazuri, avem obiectivul de a înțelege mai bine fenomenul și de a colabora cu furnizorul de date pentru a crește acoperirea, acolo unde este posibil.</w:t>
      </w:r>
    </w:p>
    <w:p w14:paraId="2A9AB1AE" w14:textId="77777777" w:rsidR="00612FB2" w:rsidRPr="0087494E" w:rsidRDefault="00612FB2" w:rsidP="00612FB2">
      <w:pPr>
        <w:suppressAutoHyphens w:val="0"/>
        <w:autoSpaceDN/>
        <w:spacing w:before="0" w:after="120" w:line="276" w:lineRule="auto"/>
        <w:contextualSpacing w:val="0"/>
        <w:jc w:val="both"/>
        <w:rPr>
          <w:rFonts w:cs="Arial"/>
        </w:rPr>
      </w:pPr>
    </w:p>
    <w:p w14:paraId="70FCA41A" w14:textId="34DB9C92" w:rsidR="001D0F3C" w:rsidRPr="0087494E" w:rsidRDefault="00786EB3" w:rsidP="0092620B">
      <w:pPr>
        <w:suppressAutoHyphens w:val="0"/>
        <w:autoSpaceDN/>
        <w:jc w:val="both"/>
        <w:rPr>
          <w:rFonts w:cs="Arial"/>
          <w:color w:val="0070C0"/>
          <w:szCs w:val="18"/>
        </w:rPr>
      </w:pPr>
      <w:commentRangeStart w:id="24"/>
      <w:commentRangeEnd w:id="24"/>
      <w:r>
        <w:rPr>
          <w:rStyle w:val="CommentReference"/>
        </w:rPr>
        <w:commentReference w:id="24"/>
      </w:r>
    </w:p>
    <w:p w14:paraId="30F1DFD3" w14:textId="6C5D2B91" w:rsidR="00612FB2" w:rsidRPr="0087494E" w:rsidRDefault="00612FB2">
      <w:pPr>
        <w:widowControl/>
        <w:suppressAutoHyphens w:val="0"/>
        <w:spacing w:before="0" w:after="0" w:line="240" w:lineRule="auto"/>
        <w:contextualSpacing w:val="0"/>
        <w:rPr>
          <w:b/>
          <w:caps/>
          <w:color w:val="BD2027"/>
          <w:sz w:val="22"/>
          <w:szCs w:val="22"/>
        </w:rPr>
      </w:pPr>
    </w:p>
    <w:p w14:paraId="118FD173" w14:textId="362962DE" w:rsidR="003A5D18" w:rsidRPr="00174138" w:rsidRDefault="00EB3885" w:rsidP="001F2A25">
      <w:pPr>
        <w:pStyle w:val="Heading2"/>
        <w:spacing w:before="240" w:after="120" w:line="240" w:lineRule="auto"/>
        <w:ind w:left="578" w:hanging="578"/>
        <w:contextualSpacing w:val="0"/>
        <w:rPr>
          <w:lang w:val="en-US"/>
        </w:rPr>
      </w:pPr>
      <w:bookmarkStart w:id="25" w:name="_Toc136509351"/>
      <w:bookmarkStart w:id="26" w:name="_Toc138088060"/>
      <w:r w:rsidRPr="00174138">
        <w:t xml:space="preserve">Politici de </w:t>
      </w:r>
      <w:bookmarkEnd w:id="25"/>
      <w:bookmarkEnd w:id="26"/>
      <w:r w:rsidR="009446C4">
        <w:t>Angajament</w:t>
      </w:r>
    </w:p>
    <w:p w14:paraId="5E880070" w14:textId="77777777" w:rsidR="004E604A" w:rsidRPr="00174138" w:rsidRDefault="004E604A" w:rsidP="00446E6E">
      <w:pPr>
        <w:spacing w:before="120" w:after="120" w:line="240" w:lineRule="auto"/>
        <w:contextualSpacing w:val="0"/>
        <w:jc w:val="both"/>
        <w:rPr>
          <w:bCs/>
          <w:noProof/>
          <w:color w:val="FF0000"/>
          <w:lang w:val="en-US"/>
        </w:rPr>
      </w:pPr>
    </w:p>
    <w:p w14:paraId="79145116" w14:textId="1088C709" w:rsidR="00E512D5" w:rsidRPr="00174138" w:rsidRDefault="00E512D5" w:rsidP="00446E6E">
      <w:pPr>
        <w:spacing w:before="120" w:after="120" w:line="240" w:lineRule="auto"/>
        <w:contextualSpacing w:val="0"/>
        <w:jc w:val="both"/>
        <w:rPr>
          <w:b/>
          <w:bCs/>
          <w:lang w:val="en-US"/>
        </w:rPr>
      </w:pPr>
      <w:r w:rsidRPr="00174138">
        <w:rPr>
          <w:b/>
          <w:bCs/>
        </w:rPr>
        <w:t xml:space="preserve">Rezumatul politicilor de </w:t>
      </w:r>
      <w:r w:rsidR="009446C4">
        <w:rPr>
          <w:b/>
          <w:bCs/>
        </w:rPr>
        <w:t>angajament</w:t>
      </w:r>
    </w:p>
    <w:p w14:paraId="6FD13B30" w14:textId="3F8B59E3" w:rsidR="009221F2" w:rsidRPr="0087494E" w:rsidRDefault="009221F2" w:rsidP="00BC477C">
      <w:pPr>
        <w:widowControl/>
        <w:suppressAutoHyphens w:val="0"/>
        <w:autoSpaceDE w:val="0"/>
        <w:adjustRightInd w:val="0"/>
        <w:spacing w:before="0" w:after="120" w:line="276" w:lineRule="auto"/>
        <w:contextualSpacing w:val="0"/>
        <w:rPr>
          <w:rFonts w:eastAsia="Arial Regular" w:cs="Arial"/>
          <w:color w:val="auto"/>
          <w:szCs w:val="18"/>
          <w:lang w:eastAsia="en-US"/>
        </w:rPr>
      </w:pPr>
      <w:r w:rsidRPr="00174138">
        <w:rPr>
          <w:rFonts w:eastAsia="Arial Regular" w:cs="Arial"/>
          <w:color w:val="auto"/>
          <w:szCs w:val="18"/>
          <w:lang w:eastAsia="en-US"/>
        </w:rPr>
        <w:t>În calitate de investitor instituțional pe termen lung și proprietar de active cu o obligație fiduciară, fiecare companie de asigurare a grupului, în conformitate cu grupul, încorporează proprietatea activă în cadrul său, considerând-o un factor care contribuie la atenuarea riscurilor pe termen lung și la crearea de valoare pentru clienți și acționari.</w:t>
      </w:r>
    </w:p>
    <w:p w14:paraId="2ADACC72" w14:textId="72BECF30" w:rsidR="009221F2" w:rsidRPr="0087494E" w:rsidRDefault="009221F2" w:rsidP="00BC477C">
      <w:pPr>
        <w:widowControl/>
        <w:suppressAutoHyphens w:val="0"/>
        <w:autoSpaceDE w:val="0"/>
        <w:adjustRightInd w:val="0"/>
        <w:spacing w:before="0" w:after="120" w:line="276" w:lineRule="auto"/>
        <w:contextualSpacing w:val="0"/>
        <w:rPr>
          <w:rFonts w:eastAsia="Arial Regular" w:cs="Arial"/>
          <w:color w:val="auto"/>
          <w:szCs w:val="18"/>
          <w:lang w:eastAsia="en-US"/>
        </w:rPr>
      </w:pPr>
      <w:r w:rsidRPr="00174138">
        <w:rPr>
          <w:rFonts w:eastAsia="Arial Regular" w:cs="Arial"/>
          <w:color w:val="auto"/>
          <w:szCs w:val="18"/>
          <w:lang w:eastAsia="en-US"/>
        </w:rPr>
        <w:t xml:space="preserve">Prin </w:t>
      </w:r>
      <w:r w:rsidR="009446C4">
        <w:rPr>
          <w:rFonts w:eastAsia="Arial Regular" w:cs="Arial"/>
          <w:color w:val="auto"/>
          <w:szCs w:val="18"/>
          <w:lang w:eastAsia="en-US"/>
        </w:rPr>
        <w:t>angajamentul</w:t>
      </w:r>
      <w:r w:rsidRPr="00174138">
        <w:rPr>
          <w:rFonts w:eastAsia="Arial Regular" w:cs="Arial"/>
          <w:color w:val="auto"/>
          <w:szCs w:val="18"/>
          <w:lang w:eastAsia="en-US"/>
        </w:rPr>
        <w:t xml:space="preserve"> companiilor în care s-a investit și exercitarea drepturilor de vot, Grupul își propune să influențeze comportamentul de afaceri și responsabilitatea companiilor în care s-a investit cu privire la factorii de sustenabilitate, ca urmare atenuarea riscurilor de sustenabilitate la care este expus Grupul și gestionarea principalelor efecte negative asupra factorilor de sustenabilitate care derivă din strategia sa de investiții.</w:t>
      </w:r>
    </w:p>
    <w:p w14:paraId="3FE955D7" w14:textId="116F3613" w:rsidR="003F4C64" w:rsidRPr="0087494E" w:rsidRDefault="00820F40" w:rsidP="00BC477C">
      <w:pPr>
        <w:spacing w:before="0" w:after="120" w:line="276" w:lineRule="auto"/>
        <w:contextualSpacing w:val="0"/>
        <w:jc w:val="both"/>
      </w:pPr>
      <w:r w:rsidRPr="00174138">
        <w:t>În ceea ce privește votul prin procură, Grupul consideră că deciziile luate în cadrul adunărilor generale ale companiilor în care s-a investit sunt de cea mai mare importanță pentru realizarea strategiilor pe termen lung ale companiilor. Grupul adoptă principii și criterii, inclusiv luarea în considerare a factorilor și riscurilor semnificative de sustenabilitate, în definirea deciziilor de vot în concordanță cu interesul Grupului și al clienților săi.</w:t>
      </w:r>
    </w:p>
    <w:p w14:paraId="6A6E1E71" w14:textId="7B89535F" w:rsidR="003F4C64" w:rsidRPr="0087494E" w:rsidRDefault="00820F40" w:rsidP="00BC477C">
      <w:pPr>
        <w:spacing w:before="0" w:after="120" w:line="276" w:lineRule="auto"/>
        <w:contextualSpacing w:val="0"/>
        <w:jc w:val="both"/>
      </w:pPr>
      <w:r w:rsidRPr="00174138">
        <w:t>În ceea ce privește a</w:t>
      </w:r>
      <w:r w:rsidR="00803946">
        <w:t>ngajamentul</w:t>
      </w:r>
      <w:r w:rsidRPr="00174138">
        <w:t>, prin dialogul cu companiile în care s-a investit, Grupul intenționează (i) să obțină mai multe informații despre practicile de sustenabilitate, precum și despre strategia generală, managementul și problemele companiilor în care s-a investit (ii) să încurajeze îmbunătățirea / creșterea practicilor de sustenabilitate și/sau a nivelului de publicare; (iii) exercită o influență asupra societăților în care s-a investit, încercând să își îmbunătățească practicile comerciale generale, inclusiv practicile și performanța în materie de durabilitate, pentru a-și reduce riscul de durabilitate și, în cele din urmă, pentru a-și îmbunătăți profitabilitatea pe termen lung; (iv) să ia decizii de investiții mai bune în contextul gestionării activelor Investițiilor de Grup.</w:t>
      </w:r>
    </w:p>
    <w:p w14:paraId="2067B625" w14:textId="2CB624E9" w:rsidR="00005957" w:rsidRPr="0087494E" w:rsidRDefault="00446E6E" w:rsidP="00005957">
      <w:pPr>
        <w:spacing w:before="0" w:after="120" w:line="276" w:lineRule="auto"/>
        <w:contextualSpacing w:val="0"/>
        <w:jc w:val="both"/>
      </w:pPr>
      <w:r w:rsidRPr="00174138">
        <w:t>Cadrul de participare activă a Grupului (link către Ghidul publicat pe site) a fost elaborat în conformitate cu obligațiile introduse de Directiva privind drepturile acționarilor II în ceea ce privește politica de a</w:t>
      </w:r>
      <w:r w:rsidR="00803946">
        <w:t>ngajament a</w:t>
      </w:r>
      <w:r w:rsidRPr="00174138">
        <w:t xml:space="preserve"> investitorilor instituționali (art. 3g din Directiva (UE) 2017/828 de modificare a Directivei 2007/36/CE) și ține cont în mod corespunzător de cele mai bune practici din standardele internaționale la care aderă Grupul. În plus, cadrul nostru de acționariat activ a fost elaborat și pentru a urmări cel mai bine principalii indicatori negativi în temeiul Regulamentului SFDR și pentru a prevedea procedurile de escaladare. </w:t>
      </w:r>
    </w:p>
    <w:p w14:paraId="50A07C4C" w14:textId="45C35CC4" w:rsidR="00446E6E" w:rsidRPr="0087494E" w:rsidRDefault="00446E6E" w:rsidP="00BC477C">
      <w:pPr>
        <w:spacing w:before="0" w:after="120" w:line="276" w:lineRule="auto"/>
        <w:contextualSpacing w:val="0"/>
        <w:jc w:val="both"/>
      </w:pPr>
    </w:p>
    <w:p w14:paraId="5D1109B6" w14:textId="55C7F56A" w:rsidR="00446E6E" w:rsidRPr="0087494E" w:rsidRDefault="00E330AA" w:rsidP="00446E6E">
      <w:pPr>
        <w:widowControl/>
        <w:suppressAutoHyphens w:val="0"/>
        <w:autoSpaceDN/>
        <w:spacing w:before="0" w:after="0" w:line="240" w:lineRule="auto"/>
        <w:contextualSpacing w:val="0"/>
        <w:rPr>
          <w:b/>
          <w:bCs/>
        </w:rPr>
      </w:pPr>
      <w:r w:rsidRPr="00174138">
        <w:rPr>
          <w:b/>
          <w:bCs/>
        </w:rPr>
        <w:t>Indicatori pentru impactul negativ luați în considerare în politicile de</w:t>
      </w:r>
      <w:r w:rsidR="00803946">
        <w:rPr>
          <w:b/>
          <w:bCs/>
        </w:rPr>
        <w:t xml:space="preserve"> angajament</w:t>
      </w:r>
      <w:r w:rsidRPr="00174138">
        <w:rPr>
          <w:b/>
          <w:bCs/>
        </w:rPr>
        <w:t xml:space="preserve">. </w:t>
      </w:r>
    </w:p>
    <w:tbl>
      <w:tblPr>
        <w:tblW w:w="10203" w:type="dxa"/>
        <w:tblCellMar>
          <w:left w:w="0" w:type="dxa"/>
          <w:right w:w="0" w:type="dxa"/>
        </w:tblCellMar>
        <w:tblLook w:val="0600" w:firstRow="0" w:lastRow="0" w:firstColumn="0" w:lastColumn="0" w:noHBand="1" w:noVBand="1"/>
      </w:tblPr>
      <w:tblGrid>
        <w:gridCol w:w="961"/>
        <w:gridCol w:w="1869"/>
        <w:gridCol w:w="1703"/>
        <w:gridCol w:w="1361"/>
        <w:gridCol w:w="2665"/>
        <w:gridCol w:w="1644"/>
      </w:tblGrid>
      <w:tr w:rsidR="00910C57" w:rsidRPr="00174138" w14:paraId="6720138D" w14:textId="7CBCDF42" w:rsidTr="00324689">
        <w:trPr>
          <w:trHeight w:val="283"/>
          <w:tblHeader/>
        </w:trPr>
        <w:tc>
          <w:tcPr>
            <w:tcW w:w="961" w:type="dxa"/>
            <w:tcBorders>
              <w:top w:val="single" w:sz="4" w:space="0" w:color="auto"/>
              <w:left w:val="single" w:sz="4" w:space="0" w:color="auto"/>
              <w:bottom w:val="single" w:sz="4" w:space="0" w:color="auto"/>
              <w:right w:val="single" w:sz="4" w:space="0" w:color="auto"/>
            </w:tcBorders>
            <w:shd w:val="clear" w:color="auto" w:fill="C00000"/>
            <w:tcMar>
              <w:top w:w="1" w:type="dxa"/>
              <w:left w:w="1" w:type="dxa"/>
              <w:bottom w:w="0" w:type="dxa"/>
              <w:right w:w="1" w:type="dxa"/>
            </w:tcMar>
            <w:vAlign w:val="center"/>
            <w:hideMark/>
          </w:tcPr>
          <w:p w14:paraId="5DFA3D0F" w14:textId="77777777" w:rsidR="005E361D" w:rsidRPr="00174138" w:rsidRDefault="005E361D" w:rsidP="00984D70">
            <w:pPr>
              <w:widowControl/>
              <w:suppressAutoHyphens w:val="0"/>
              <w:autoSpaceDN/>
              <w:spacing w:before="0" w:after="0" w:line="240" w:lineRule="auto"/>
              <w:contextualSpacing w:val="0"/>
              <w:jc w:val="center"/>
              <w:textAlignment w:val="bottom"/>
              <w:rPr>
                <w:rFonts w:cs="Arial"/>
                <w:color w:val="auto"/>
                <w:sz w:val="16"/>
                <w:szCs w:val="16"/>
              </w:rPr>
            </w:pPr>
            <w:r w:rsidRPr="00174138">
              <w:rPr>
                <w:rFonts w:cs="Arial"/>
                <w:b/>
                <w:bCs/>
                <w:color w:val="FFFFFF"/>
                <w:kern w:val="24"/>
                <w:sz w:val="16"/>
                <w:szCs w:val="16"/>
              </w:rPr>
              <w:t>Obligatoriu</w:t>
            </w:r>
          </w:p>
        </w:tc>
        <w:tc>
          <w:tcPr>
            <w:tcW w:w="1869" w:type="dxa"/>
            <w:tcBorders>
              <w:top w:val="single" w:sz="4" w:space="0" w:color="auto"/>
              <w:left w:val="single" w:sz="4" w:space="0" w:color="auto"/>
              <w:bottom w:val="single" w:sz="4" w:space="0" w:color="auto"/>
              <w:right w:val="single" w:sz="4" w:space="0" w:color="auto"/>
            </w:tcBorders>
            <w:shd w:val="clear" w:color="auto" w:fill="C00000"/>
            <w:tcMar>
              <w:top w:w="1" w:type="dxa"/>
              <w:left w:w="1" w:type="dxa"/>
              <w:bottom w:w="0" w:type="dxa"/>
              <w:right w:w="1" w:type="dxa"/>
            </w:tcMar>
            <w:vAlign w:val="center"/>
            <w:hideMark/>
          </w:tcPr>
          <w:p w14:paraId="64055086" w14:textId="77777777" w:rsidR="005E361D" w:rsidRPr="00174138" w:rsidRDefault="005E361D" w:rsidP="00984D70">
            <w:pPr>
              <w:widowControl/>
              <w:suppressAutoHyphens w:val="0"/>
              <w:autoSpaceDN/>
              <w:spacing w:before="0" w:after="0" w:line="240" w:lineRule="auto"/>
              <w:contextualSpacing w:val="0"/>
              <w:jc w:val="center"/>
              <w:textAlignment w:val="bottom"/>
              <w:rPr>
                <w:rFonts w:cs="Arial"/>
                <w:color w:val="auto"/>
                <w:sz w:val="16"/>
                <w:szCs w:val="16"/>
              </w:rPr>
            </w:pPr>
            <w:r w:rsidRPr="00174138">
              <w:rPr>
                <w:rFonts w:cs="Arial"/>
                <w:b/>
                <w:bCs/>
                <w:color w:val="FFFFFF"/>
                <w:kern w:val="24"/>
                <w:sz w:val="16"/>
                <w:szCs w:val="16"/>
              </w:rPr>
              <w:t>Subiect PAI</w:t>
            </w:r>
          </w:p>
        </w:tc>
        <w:tc>
          <w:tcPr>
            <w:tcW w:w="1703" w:type="dxa"/>
            <w:tcBorders>
              <w:top w:val="single" w:sz="4" w:space="0" w:color="auto"/>
              <w:left w:val="single" w:sz="4" w:space="0" w:color="auto"/>
              <w:bottom w:val="single" w:sz="4" w:space="0" w:color="auto"/>
              <w:right w:val="single" w:sz="4" w:space="0" w:color="auto"/>
            </w:tcBorders>
            <w:shd w:val="clear" w:color="auto" w:fill="C00000"/>
            <w:tcMar>
              <w:top w:w="1" w:type="dxa"/>
              <w:left w:w="1" w:type="dxa"/>
              <w:bottom w:w="0" w:type="dxa"/>
              <w:right w:w="1" w:type="dxa"/>
            </w:tcMar>
            <w:vAlign w:val="center"/>
            <w:hideMark/>
          </w:tcPr>
          <w:p w14:paraId="7F5ED233" w14:textId="1FABB97D" w:rsidR="005E361D" w:rsidRPr="00174138" w:rsidRDefault="005E361D" w:rsidP="00984D70">
            <w:pPr>
              <w:widowControl/>
              <w:suppressAutoHyphens w:val="0"/>
              <w:autoSpaceDN/>
              <w:spacing w:before="0" w:after="0" w:line="240" w:lineRule="auto"/>
              <w:contextualSpacing w:val="0"/>
              <w:jc w:val="center"/>
              <w:textAlignment w:val="bottom"/>
              <w:rPr>
                <w:rFonts w:cs="Arial"/>
                <w:color w:val="auto"/>
                <w:sz w:val="16"/>
                <w:szCs w:val="16"/>
              </w:rPr>
            </w:pPr>
            <w:r w:rsidRPr="00174138">
              <w:rPr>
                <w:rFonts w:cs="Arial"/>
                <w:b/>
                <w:bCs/>
                <w:color w:val="FFFFFF"/>
                <w:kern w:val="24"/>
                <w:sz w:val="16"/>
                <w:szCs w:val="16"/>
              </w:rPr>
              <w:t>PAI Indicator</w:t>
            </w:r>
          </w:p>
        </w:tc>
        <w:tc>
          <w:tcPr>
            <w:tcW w:w="1361" w:type="dxa"/>
            <w:tcBorders>
              <w:top w:val="single" w:sz="4" w:space="0" w:color="auto"/>
              <w:left w:val="single" w:sz="4" w:space="0" w:color="auto"/>
              <w:bottom w:val="single" w:sz="4" w:space="0" w:color="auto"/>
              <w:right w:val="single" w:sz="4" w:space="0" w:color="auto"/>
            </w:tcBorders>
            <w:shd w:val="clear" w:color="auto" w:fill="C00000"/>
            <w:vAlign w:val="center"/>
          </w:tcPr>
          <w:p w14:paraId="1B79C19D" w14:textId="2F9C39BC" w:rsidR="005E361D" w:rsidRPr="00174138" w:rsidRDefault="005E361D" w:rsidP="00792D93">
            <w:pPr>
              <w:widowControl/>
              <w:suppressAutoHyphens w:val="0"/>
              <w:autoSpaceDN/>
              <w:spacing w:before="0" w:after="0" w:line="240" w:lineRule="auto"/>
              <w:contextualSpacing w:val="0"/>
              <w:jc w:val="center"/>
              <w:textAlignment w:val="bottom"/>
              <w:rPr>
                <w:rFonts w:cs="Arial"/>
                <w:b/>
                <w:color w:val="FFFFFF"/>
                <w:kern w:val="24"/>
                <w:sz w:val="16"/>
                <w:szCs w:val="16"/>
                <w:lang w:val="en-GB"/>
              </w:rPr>
            </w:pPr>
            <w:r w:rsidRPr="00174138">
              <w:rPr>
                <w:rFonts w:cs="Arial"/>
                <w:b/>
                <w:color w:val="FFFFFF"/>
                <w:kern w:val="24"/>
                <w:sz w:val="16"/>
                <w:szCs w:val="16"/>
              </w:rPr>
              <w:t>Principii de vot</w:t>
            </w:r>
            <w:r w:rsidRPr="00174138">
              <w:rPr>
                <w:rStyle w:val="FootnoteReference"/>
                <w:rFonts w:cs="Arial"/>
                <w:b/>
                <w:color w:val="FFFFFF"/>
                <w:kern w:val="24"/>
                <w:szCs w:val="16"/>
              </w:rPr>
              <w:footnoteReference w:id="15"/>
            </w:r>
          </w:p>
        </w:tc>
        <w:tc>
          <w:tcPr>
            <w:tcW w:w="2665" w:type="dxa"/>
            <w:tcBorders>
              <w:top w:val="single" w:sz="4" w:space="0" w:color="auto"/>
              <w:left w:val="single" w:sz="4" w:space="0" w:color="auto"/>
              <w:bottom w:val="single" w:sz="4" w:space="0" w:color="auto"/>
              <w:right w:val="single" w:sz="4" w:space="0" w:color="auto"/>
            </w:tcBorders>
            <w:shd w:val="clear" w:color="auto" w:fill="C00000"/>
            <w:tcMar>
              <w:top w:w="1" w:type="dxa"/>
              <w:left w:w="1" w:type="dxa"/>
              <w:bottom w:w="0" w:type="dxa"/>
              <w:right w:w="1" w:type="dxa"/>
            </w:tcMar>
            <w:vAlign w:val="center"/>
            <w:hideMark/>
          </w:tcPr>
          <w:p w14:paraId="73B2DD91" w14:textId="26E6B708" w:rsidR="005E361D" w:rsidRPr="00174138" w:rsidRDefault="005E361D" w:rsidP="00984D70">
            <w:pPr>
              <w:widowControl/>
              <w:suppressAutoHyphens w:val="0"/>
              <w:autoSpaceDN/>
              <w:spacing w:before="0" w:after="0" w:line="240" w:lineRule="auto"/>
              <w:contextualSpacing w:val="0"/>
              <w:jc w:val="center"/>
              <w:textAlignment w:val="bottom"/>
              <w:rPr>
                <w:rFonts w:cs="Arial"/>
                <w:b/>
                <w:bCs/>
                <w:color w:val="auto"/>
                <w:sz w:val="16"/>
                <w:szCs w:val="16"/>
              </w:rPr>
            </w:pPr>
            <w:r w:rsidRPr="00174138">
              <w:rPr>
                <w:rFonts w:cs="Arial"/>
                <w:b/>
                <w:bCs/>
                <w:color w:val="FFFFFF"/>
                <w:kern w:val="24"/>
                <w:sz w:val="16"/>
                <w:szCs w:val="16"/>
              </w:rPr>
              <w:t xml:space="preserve">Cadrul de </w:t>
            </w:r>
            <w:r w:rsidR="00493A26">
              <w:rPr>
                <w:rFonts w:cs="Arial"/>
                <w:b/>
                <w:bCs/>
                <w:color w:val="FFFFFF"/>
                <w:kern w:val="24"/>
                <w:sz w:val="16"/>
                <w:szCs w:val="16"/>
              </w:rPr>
              <w:t>angajament</w:t>
            </w:r>
          </w:p>
        </w:tc>
        <w:tc>
          <w:tcPr>
            <w:tcW w:w="1644" w:type="dxa"/>
            <w:tcBorders>
              <w:top w:val="single" w:sz="4" w:space="0" w:color="auto"/>
              <w:left w:val="single" w:sz="4" w:space="0" w:color="auto"/>
              <w:bottom w:val="single" w:sz="4" w:space="0" w:color="auto"/>
              <w:right w:val="single" w:sz="4" w:space="0" w:color="auto"/>
            </w:tcBorders>
            <w:shd w:val="clear" w:color="auto" w:fill="C00000"/>
            <w:tcMar>
              <w:top w:w="1" w:type="dxa"/>
              <w:left w:w="1" w:type="dxa"/>
              <w:bottom w:w="0" w:type="dxa"/>
              <w:right w:w="1" w:type="dxa"/>
            </w:tcMar>
            <w:vAlign w:val="center"/>
            <w:hideMark/>
          </w:tcPr>
          <w:p w14:paraId="2FEB0B5F" w14:textId="672C2F33" w:rsidR="005E361D" w:rsidRPr="00174138" w:rsidRDefault="005E361D" w:rsidP="00984D70">
            <w:pPr>
              <w:widowControl/>
              <w:suppressAutoHyphens w:val="0"/>
              <w:autoSpaceDN/>
              <w:spacing w:before="0" w:after="0" w:line="240" w:lineRule="auto"/>
              <w:contextualSpacing w:val="0"/>
              <w:jc w:val="center"/>
              <w:textAlignment w:val="bottom"/>
              <w:rPr>
                <w:rFonts w:cs="Arial"/>
                <w:b/>
                <w:bCs/>
                <w:color w:val="auto"/>
                <w:sz w:val="16"/>
                <w:szCs w:val="16"/>
              </w:rPr>
            </w:pPr>
            <w:r w:rsidRPr="00174138">
              <w:rPr>
                <w:rFonts w:cs="Arial"/>
                <w:b/>
                <w:bCs/>
                <w:color w:val="auto"/>
                <w:sz w:val="16"/>
                <w:szCs w:val="16"/>
              </w:rPr>
              <w:t xml:space="preserve">Subiect de </w:t>
            </w:r>
            <w:r w:rsidR="00493A26">
              <w:rPr>
                <w:rFonts w:cs="Arial"/>
                <w:b/>
                <w:bCs/>
                <w:color w:val="auto"/>
                <w:sz w:val="16"/>
                <w:szCs w:val="16"/>
              </w:rPr>
              <w:t>angajament</w:t>
            </w:r>
          </w:p>
        </w:tc>
      </w:tr>
      <w:tr w:rsidR="00910C57" w:rsidRPr="00174138" w14:paraId="24E8827B" w14:textId="47AD7C78"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49AF278"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754D529"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348C251" w14:textId="1A963304"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 Emisii de gaze cu efect de seră</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0C1E1" w14:textId="25482F51" w:rsidR="005E361D" w:rsidRPr="0087494E"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15211A34" w14:textId="5E3D3424"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Angajament legat de strategia și angajamentele grupului.</w:t>
            </w:r>
          </w:p>
          <w:p w14:paraId="31F6E7AD" w14:textId="77777777"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p w14:paraId="1DF2D236" w14:textId="09530D55"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lang w:val="en-US"/>
              </w:rPr>
            </w:pPr>
            <w:r w:rsidRPr="00174138">
              <w:rPr>
                <w:rFonts w:cs="Arial"/>
                <w:color w:val="auto"/>
                <w:sz w:val="14"/>
                <w:szCs w:val="14"/>
              </w:rPr>
              <w:t>/ Angajament pentru managementul portofoliului</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2AD0BCD2" w14:textId="1DBA3BF3"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Decarbonizarea portofoliului / Screening negativ</w:t>
            </w:r>
          </w:p>
        </w:tc>
      </w:tr>
      <w:tr w:rsidR="00910C57" w:rsidRPr="00174138" w14:paraId="51B9147D" w14:textId="0EF46E2A"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6E27963"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9577021"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8A63F7B" w14:textId="6C4CB01B"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2. Amprenta de carbon</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D3D9" w14:textId="504085FC" w:rsidR="005E361D" w:rsidRPr="00174138"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CDE2514" w14:textId="66E0C2D6"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1415079"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3DDC7438" w14:textId="2517516E"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453D3C8"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EF0675C"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C879B0C" w14:textId="4963B1D5"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lang w:val="en-US"/>
              </w:rPr>
            </w:pPr>
            <w:r w:rsidRPr="0087494E">
              <w:rPr>
                <w:rFonts w:cs="Arial"/>
                <w:kern w:val="24"/>
                <w:sz w:val="14"/>
                <w:szCs w:val="14"/>
                <w:lang w:val="en-US"/>
              </w:rPr>
              <w:t xml:space="preserve">3. </w:t>
            </w:r>
            <w:proofErr w:type="spellStart"/>
            <w:r w:rsidRPr="0087494E">
              <w:rPr>
                <w:rFonts w:cs="Arial"/>
                <w:kern w:val="24"/>
                <w:sz w:val="14"/>
                <w:szCs w:val="14"/>
                <w:lang w:val="en-US"/>
              </w:rPr>
              <w:t>Intensitatea</w:t>
            </w:r>
            <w:proofErr w:type="spellEnd"/>
            <w:r w:rsidRPr="0087494E">
              <w:rPr>
                <w:rFonts w:cs="Arial"/>
                <w:kern w:val="24"/>
                <w:sz w:val="14"/>
                <w:szCs w:val="14"/>
                <w:lang w:val="en-US"/>
              </w:rPr>
              <w:t xml:space="preserve"> </w:t>
            </w:r>
            <w:proofErr w:type="spellStart"/>
            <w:r w:rsidRPr="0087494E">
              <w:rPr>
                <w:rFonts w:cs="Arial"/>
                <w:kern w:val="24"/>
                <w:sz w:val="14"/>
                <w:szCs w:val="14"/>
                <w:lang w:val="en-US"/>
              </w:rPr>
              <w:t>gazelor</w:t>
            </w:r>
            <w:proofErr w:type="spellEnd"/>
            <w:r w:rsidRPr="0087494E">
              <w:rPr>
                <w:rFonts w:cs="Arial"/>
                <w:kern w:val="24"/>
                <w:sz w:val="14"/>
                <w:szCs w:val="14"/>
                <w:lang w:val="en-US"/>
              </w:rPr>
              <w:t xml:space="preserve"> cu </w:t>
            </w:r>
            <w:proofErr w:type="spellStart"/>
            <w:r w:rsidRPr="0087494E">
              <w:rPr>
                <w:rFonts w:cs="Arial"/>
                <w:kern w:val="24"/>
                <w:sz w:val="14"/>
                <w:szCs w:val="14"/>
                <w:lang w:val="en-US"/>
              </w:rPr>
              <w:t>efect</w:t>
            </w:r>
            <w:proofErr w:type="spellEnd"/>
            <w:r w:rsidRPr="0087494E">
              <w:rPr>
                <w:rFonts w:cs="Arial"/>
                <w:kern w:val="24"/>
                <w:sz w:val="14"/>
                <w:szCs w:val="14"/>
                <w:lang w:val="en-US"/>
              </w:rPr>
              <w:t xml:space="preserve"> de </w:t>
            </w:r>
            <w:proofErr w:type="spellStart"/>
            <w:r w:rsidRPr="0087494E">
              <w:rPr>
                <w:rFonts w:cs="Arial"/>
                <w:kern w:val="24"/>
                <w:sz w:val="14"/>
                <w:szCs w:val="14"/>
                <w:lang w:val="en-US"/>
              </w:rPr>
              <w:t>seră</w:t>
            </w:r>
            <w:proofErr w:type="spellEnd"/>
            <w:r w:rsidRPr="0087494E">
              <w:rPr>
                <w:rFonts w:cs="Arial"/>
                <w:kern w:val="24"/>
                <w:sz w:val="14"/>
                <w:szCs w:val="14"/>
                <w:lang w:val="en-US"/>
              </w:rPr>
              <w:t xml:space="preserve"> a </w:t>
            </w:r>
            <w:proofErr w:type="spellStart"/>
            <w:r w:rsidRPr="0087494E">
              <w:rPr>
                <w:rFonts w:cs="Arial"/>
                <w:kern w:val="24"/>
                <w:sz w:val="14"/>
                <w:szCs w:val="14"/>
                <w:lang w:val="en-US"/>
              </w:rPr>
              <w:t>societăților</w:t>
            </w:r>
            <w:proofErr w:type="spellEnd"/>
            <w:r w:rsidRPr="0087494E">
              <w:rPr>
                <w:rFonts w:cs="Arial"/>
                <w:kern w:val="24"/>
                <w:sz w:val="14"/>
                <w:szCs w:val="14"/>
                <w:lang w:val="en-US"/>
              </w:rPr>
              <w:t xml:space="preserve"> </w:t>
            </w:r>
            <w:proofErr w:type="spellStart"/>
            <w:r w:rsidRPr="0087494E">
              <w:rPr>
                <w:rFonts w:cs="Arial"/>
                <w:kern w:val="24"/>
                <w:sz w:val="14"/>
                <w:szCs w:val="14"/>
                <w:lang w:val="en-US"/>
              </w:rPr>
              <w:t>în</w:t>
            </w:r>
            <w:proofErr w:type="spellEnd"/>
            <w:r w:rsidRPr="0087494E">
              <w:rPr>
                <w:rFonts w:cs="Arial"/>
                <w:kern w:val="24"/>
                <w:sz w:val="14"/>
                <w:szCs w:val="14"/>
                <w:lang w:val="en-US"/>
              </w:rPr>
              <w:t xml:space="preserve"> care s-</w:t>
            </w:r>
            <w:proofErr w:type="gramStart"/>
            <w:r w:rsidRPr="0087494E">
              <w:rPr>
                <w:rFonts w:cs="Arial"/>
                <w:kern w:val="24"/>
                <w:sz w:val="14"/>
                <w:szCs w:val="14"/>
                <w:lang w:val="en-US"/>
              </w:rPr>
              <w:t>a</w:t>
            </w:r>
            <w:proofErr w:type="gramEnd"/>
            <w:r w:rsidRPr="0087494E">
              <w:rPr>
                <w:rFonts w:cs="Arial"/>
                <w:kern w:val="24"/>
                <w:sz w:val="14"/>
                <w:szCs w:val="14"/>
                <w:lang w:val="en-US"/>
              </w:rPr>
              <w:t xml:space="preserve"> </w:t>
            </w:r>
            <w:proofErr w:type="spellStart"/>
            <w:r w:rsidRPr="0087494E">
              <w:rPr>
                <w:rFonts w:cs="Arial"/>
                <w:kern w:val="24"/>
                <w:sz w:val="14"/>
                <w:szCs w:val="14"/>
                <w:lang w:val="en-US"/>
              </w:rPr>
              <w:t>investit</w:t>
            </w:r>
            <w:proofErr w:type="spellEnd"/>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46AEE" w14:textId="36BD97F6" w:rsidR="005E361D" w:rsidRPr="0087494E"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09540204" w14:textId="201FC346"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76DE0115"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57423C26" w14:textId="7E40D397"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D637045"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7AD6DE6E"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A9AC4B7" w14:textId="0065DEAD" w:rsidR="005E361D" w:rsidRPr="0087494E" w:rsidRDefault="005E361D" w:rsidP="00B34F71">
            <w:pPr>
              <w:spacing w:before="0" w:after="0" w:line="240" w:lineRule="auto"/>
              <w:contextualSpacing w:val="0"/>
              <w:textAlignment w:val="bottom"/>
              <w:rPr>
                <w:rFonts w:cs="Arial"/>
                <w:color w:val="auto"/>
                <w:sz w:val="14"/>
                <w:szCs w:val="14"/>
              </w:rPr>
            </w:pPr>
            <w:r w:rsidRPr="00174138">
              <w:rPr>
                <w:rFonts w:cs="Arial"/>
                <w:kern w:val="24"/>
                <w:sz w:val="14"/>
                <w:szCs w:val="14"/>
              </w:rPr>
              <w:t>4. Expunerea la societăți active în sectorul combustibililor fosili</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DB6DC" w14:textId="51903B49" w:rsidR="005E361D" w:rsidRPr="0087494E"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6E79694F" w14:textId="2402938A"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42C9EAD1" w14:textId="612CBD1B" w:rsidR="005E361D" w:rsidRPr="00174138" w:rsidRDefault="00943561" w:rsidP="008A1CB6">
            <w:pPr>
              <w:widowControl/>
              <w:suppressAutoHyphens w:val="0"/>
              <w:autoSpaceDN/>
              <w:spacing w:before="0" w:after="0" w:line="240" w:lineRule="auto"/>
              <w:contextualSpacing w:val="0"/>
              <w:jc w:val="center"/>
              <w:textAlignment w:val="bottom"/>
              <w:rPr>
                <w:rFonts w:cs="Arial"/>
                <w:color w:val="auto"/>
                <w:sz w:val="14"/>
                <w:szCs w:val="14"/>
              </w:rPr>
            </w:pPr>
            <w:r>
              <w:rPr>
                <w:rFonts w:cs="Arial"/>
                <w:color w:val="auto"/>
                <w:sz w:val="14"/>
                <w:szCs w:val="14"/>
              </w:rPr>
              <w:t>Politica de petrol și gaze</w:t>
            </w:r>
          </w:p>
        </w:tc>
      </w:tr>
      <w:tr w:rsidR="00910C57" w:rsidRPr="00174138" w14:paraId="0044DB8A" w14:textId="0E8ADC7F"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230A710C"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29F9AC5"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70E70E8F" w14:textId="04D6F4E6" w:rsidR="005E361D" w:rsidRPr="0087494E" w:rsidRDefault="005E361D" w:rsidP="00B34F71">
            <w:pPr>
              <w:spacing w:before="0" w:after="0" w:line="240" w:lineRule="auto"/>
              <w:contextualSpacing w:val="0"/>
              <w:textAlignment w:val="bottom"/>
              <w:rPr>
                <w:rFonts w:cs="Arial"/>
                <w:color w:val="auto"/>
                <w:sz w:val="14"/>
                <w:szCs w:val="14"/>
              </w:rPr>
            </w:pPr>
            <w:r w:rsidRPr="00174138">
              <w:rPr>
                <w:rFonts w:cs="Arial"/>
                <w:kern w:val="24"/>
                <w:sz w:val="14"/>
                <w:szCs w:val="14"/>
              </w:rPr>
              <w:t>5. Ponderea consumului și producției de energie neregenerabilă</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5E386" w14:textId="463393B0" w:rsidR="005E361D" w:rsidRPr="0087494E"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6B26717E" w14:textId="11EF0ECC"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3CDCDE31"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7292F813" w14:textId="46CD2D91"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CA6F986"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CBF72F4"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 de gaze cu efect de seră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CA1DDD2" w14:textId="51276EA0" w:rsidR="005E361D" w:rsidRPr="0087494E" w:rsidRDefault="005E361D" w:rsidP="00B34F71">
            <w:pPr>
              <w:spacing w:before="0" w:after="0" w:line="240" w:lineRule="auto"/>
              <w:contextualSpacing w:val="0"/>
              <w:textAlignment w:val="bottom"/>
              <w:rPr>
                <w:rFonts w:cs="Arial"/>
                <w:color w:val="auto"/>
                <w:sz w:val="14"/>
                <w:szCs w:val="14"/>
              </w:rPr>
            </w:pPr>
            <w:r w:rsidRPr="00174138">
              <w:rPr>
                <w:rFonts w:cs="Arial"/>
                <w:kern w:val="24"/>
                <w:sz w:val="14"/>
                <w:szCs w:val="14"/>
              </w:rPr>
              <w:t>6. Intensitatea consumului de energie pentru fiecare sector climatic cu impact ridicat</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2F458" w14:textId="71AA7092" w:rsidR="005E361D" w:rsidRPr="0087494E"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38C773DE" w14:textId="2592850E"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6B4D66D"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41C7F" w14:paraId="61F522AC" w14:textId="53D9DDE8"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B43E100"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lastRenderedPageBreak/>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61B6649"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Biodiversitate</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B07AD88" w14:textId="49DDD441" w:rsidR="005E361D" w:rsidRPr="0087494E" w:rsidRDefault="005E361D" w:rsidP="00B34F71">
            <w:pPr>
              <w:spacing w:before="0" w:after="0" w:line="240" w:lineRule="auto"/>
              <w:contextualSpacing w:val="0"/>
              <w:textAlignment w:val="bottom"/>
              <w:rPr>
                <w:rFonts w:cs="Arial"/>
                <w:color w:val="auto"/>
                <w:sz w:val="14"/>
                <w:szCs w:val="14"/>
              </w:rPr>
            </w:pPr>
            <w:r w:rsidRPr="00174138">
              <w:rPr>
                <w:rFonts w:cs="Arial"/>
                <w:kern w:val="24"/>
                <w:sz w:val="14"/>
                <w:szCs w:val="14"/>
              </w:rPr>
              <w:t>7. Activități care afectează în mod negativ zonele sensibile la biodiversitate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BE319" w14:textId="71954633" w:rsidR="005E361D" w:rsidRPr="0087494E"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0992268" w14:textId="3C12ED96"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1DC9CE1E" w14:textId="5AF6F27C" w:rsidR="005E361D" w:rsidRPr="00174138" w:rsidRDefault="00D20ED2" w:rsidP="008A1CB6">
            <w:pPr>
              <w:widowControl/>
              <w:suppressAutoHyphens w:val="0"/>
              <w:autoSpaceDN/>
              <w:spacing w:before="0" w:after="0" w:line="240" w:lineRule="auto"/>
              <w:contextualSpacing w:val="0"/>
              <w:jc w:val="center"/>
              <w:textAlignment w:val="bottom"/>
              <w:rPr>
                <w:rFonts w:cs="Arial"/>
                <w:color w:val="auto"/>
                <w:sz w:val="14"/>
                <w:szCs w:val="14"/>
                <w:lang w:val="en-US"/>
              </w:rPr>
            </w:pPr>
            <w:r>
              <w:rPr>
                <w:rFonts w:cs="Arial"/>
                <w:color w:val="auto"/>
                <w:sz w:val="14"/>
                <w:szCs w:val="14"/>
              </w:rPr>
              <w:t>Biodiversitate</w:t>
            </w:r>
          </w:p>
        </w:tc>
      </w:tr>
      <w:tr w:rsidR="00910C57" w:rsidRPr="00174138" w14:paraId="7E69FC7E" w14:textId="2FBB40EC"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14400F28"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78922FDE"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Apă</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2460FAB" w14:textId="244467A9"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8. Emisii în apă</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DBEA" w14:textId="21E8A4C6"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4D3D1E9" w14:textId="5B812783"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D28B9BA"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1F02A661" w14:textId="19B9C356"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3086B81"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51105E9"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Deșeu</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8072E94" w14:textId="0E354672"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lang w:val="en-US"/>
              </w:rPr>
            </w:pPr>
            <w:r w:rsidRPr="00174138">
              <w:rPr>
                <w:rFonts w:cs="Arial"/>
                <w:kern w:val="24"/>
                <w:sz w:val="14"/>
                <w:szCs w:val="14"/>
              </w:rPr>
              <w:t>9. Raportul deșeurilor periculoase și al deșeurilor radioactive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43985" w14:textId="7657C091" w:rsidR="005E361D" w:rsidRPr="0087494E" w:rsidRDefault="00700DA0"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1.7 (Factori și riscuri de mediu)</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16928B08" w14:textId="7D4627C4"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0EEC6C47"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1D11FC3C" w14:textId="43F4FEFF" w:rsidTr="00324689">
        <w:trPr>
          <w:trHeight w:val="352"/>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3B58EC3"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2732992C"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Probleme sociale și ale angajaților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1805D420" w14:textId="668E50ED" w:rsidR="005E361D" w:rsidRPr="0087494E"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10. Încălcări ale principiilor Pactului Global al ONU și ale Orientărilor Organizației pentru Cooperare și Dezvoltare Economică (OCDE) pentru întreprinderile multinaționale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01ECE" w14:textId="4EEF6CDE"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1.8 (Factori sociali și riscuri)</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24B5CC76" w14:textId="490A8051" w:rsidR="005E361D" w:rsidRPr="00174138" w:rsidRDefault="005E361D" w:rsidP="007969FE">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Angajament pentru managementul portofoliului</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AE70E07" w14:textId="74180098" w:rsidR="005E361D" w:rsidRPr="00174138" w:rsidRDefault="005E361D" w:rsidP="007969FE">
            <w:pPr>
              <w:widowControl/>
              <w:suppressAutoHyphens w:val="0"/>
              <w:autoSpaceDN/>
              <w:spacing w:before="0" w:after="0" w:line="240" w:lineRule="auto"/>
              <w:contextualSpacing w:val="0"/>
              <w:jc w:val="center"/>
              <w:textAlignment w:val="bottom"/>
              <w:rPr>
                <w:rFonts w:cs="Arial"/>
                <w:kern w:val="24"/>
                <w:sz w:val="14"/>
                <w:szCs w:val="14"/>
              </w:rPr>
            </w:pPr>
            <w:r w:rsidRPr="00174138">
              <w:rPr>
                <w:rFonts w:cs="Arial"/>
                <w:kern w:val="24"/>
                <w:sz w:val="14"/>
                <w:szCs w:val="14"/>
              </w:rPr>
              <w:t>Screening negativ</w:t>
            </w:r>
          </w:p>
        </w:tc>
      </w:tr>
      <w:tr w:rsidR="00910C57" w:rsidRPr="00174138" w14:paraId="162CC59A" w14:textId="696044E2" w:rsidTr="00324689">
        <w:trPr>
          <w:trHeight w:val="352"/>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56064D88" w14:textId="77777777"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AD93C0A" w14:textId="77777777" w:rsidR="005E361D" w:rsidRPr="00174138" w:rsidRDefault="005E361D" w:rsidP="00324689">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Probleme sociale și ale angajaților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788D19F7" w14:textId="269BFBE4" w:rsidR="005E361D" w:rsidRPr="0087494E" w:rsidRDefault="005E361D" w:rsidP="00B34F71">
            <w:pPr>
              <w:spacing w:before="0" w:after="0" w:line="240" w:lineRule="auto"/>
              <w:contextualSpacing w:val="0"/>
              <w:textAlignment w:val="bottom"/>
              <w:rPr>
                <w:rFonts w:cs="Arial"/>
                <w:color w:val="auto"/>
                <w:sz w:val="14"/>
                <w:szCs w:val="14"/>
              </w:rPr>
            </w:pPr>
            <w:r w:rsidRPr="00174138">
              <w:rPr>
                <w:rFonts w:cs="Arial"/>
                <w:kern w:val="24"/>
                <w:sz w:val="14"/>
                <w:szCs w:val="14"/>
              </w:rPr>
              <w:t>11. Lipsa proceselor și mecanismelor de conformitate pentru a monitoriza respectarea principiilor Pactului Global al ONU și a Orientărilor OCDE pentru întreprinderile multinaționale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6405" w14:textId="75A5DD5E" w:rsidR="005E361D" w:rsidRPr="00174138" w:rsidRDefault="005E361D" w:rsidP="00B34F71">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1.8 (Factori sociali și riscuri)</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82A0DEB" w14:textId="144C1840"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064CD81"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061077FF" w14:textId="1C754742"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EA56276"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9BF2794"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Probleme sociale și ale angajaților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77250E2" w14:textId="58777B19"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12. Diferența de remunerare neajustată între femei și bărbați</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49E43" w14:textId="4CF99CAD"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lang w:val="en-GB"/>
              </w:rPr>
            </w:pPr>
            <w:r w:rsidRPr="00174138">
              <w:rPr>
                <w:rFonts w:cs="Arial"/>
                <w:kern w:val="24"/>
                <w:sz w:val="14"/>
                <w:szCs w:val="14"/>
              </w:rPr>
              <w:t>1.8.1 (Diversitate, echitate și incluziune)</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3795AE77" w14:textId="63CB6EB4" w:rsidR="005E361D" w:rsidRPr="0087494E"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Angajament legat de strategia și angajamentele grupului.</w:t>
            </w:r>
          </w:p>
          <w:p w14:paraId="0452E633" w14:textId="77777777" w:rsidR="005E361D" w:rsidRPr="0087494E" w:rsidRDefault="005E361D" w:rsidP="00E151C4">
            <w:pPr>
              <w:widowControl/>
              <w:suppressAutoHyphens w:val="0"/>
              <w:autoSpaceDN/>
              <w:spacing w:before="0" w:after="0" w:line="240" w:lineRule="auto"/>
              <w:contextualSpacing w:val="0"/>
              <w:textAlignment w:val="bottom"/>
              <w:rPr>
                <w:rFonts w:cs="Arial"/>
                <w:color w:val="auto"/>
                <w:sz w:val="14"/>
                <w:szCs w:val="14"/>
              </w:rPr>
            </w:pPr>
          </w:p>
        </w:tc>
        <w:tc>
          <w:tcPr>
            <w:tcW w:w="16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7B55D345"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(Sex) Diversitate, echitate și incluziune</w:t>
            </w:r>
          </w:p>
          <w:p w14:paraId="2696E65E" w14:textId="5F739293"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0238049D" w14:textId="3A04E1D2"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0D82EEE"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08D2A44"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Probleme sociale și ale angajaților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1A58A7BB" w14:textId="1B3451A0"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13. Diversitatea de gen în consiliul de administrație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F1CCE" w14:textId="609620B9"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lang w:val="en-GB"/>
              </w:rPr>
            </w:pPr>
            <w:r w:rsidRPr="00174138">
              <w:rPr>
                <w:rFonts w:cs="Arial"/>
                <w:kern w:val="24"/>
                <w:sz w:val="14"/>
                <w:szCs w:val="14"/>
              </w:rPr>
              <w:t>1.8.1 (Diversitate, echitate și incluziune)</w:t>
            </w:r>
          </w:p>
        </w:tc>
        <w:tc>
          <w:tcPr>
            <w:tcW w:w="266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6277BB7" w14:textId="11C8312D"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c>
          <w:tcPr>
            <w:tcW w:w="164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43C1F099"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p>
        </w:tc>
      </w:tr>
      <w:tr w:rsidR="00910C57" w:rsidRPr="00174138" w14:paraId="60D74637" w14:textId="6A078314"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A15A525"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Da</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B6D596D"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Probleme sociale și ale angajaților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A184B2F" w14:textId="7DF883BD" w:rsidR="005E361D" w:rsidRPr="0087494E"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14. Expunerea la arme controversate (mine antipersonal, muniții cu dispersie, arme chimice și arme biologice)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B9A19" w14:textId="36BE85A6"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1.8 (Factori sociali și riscuri)</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21092FD4" w14:textId="19882F04"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Angajament pentru managementul portofoliului</w:t>
            </w: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787CA51D"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cs="Arial"/>
                <w:color w:val="auto"/>
                <w:sz w:val="14"/>
                <w:szCs w:val="14"/>
              </w:rPr>
              <w:t>Screening negativ</w:t>
            </w:r>
          </w:p>
        </w:tc>
      </w:tr>
      <w:tr w:rsidR="00910C57" w:rsidRPr="00174138" w14:paraId="16F9CDAD" w14:textId="57A812BA"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3DAD8F69"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Nu</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46638A68"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Emisiilor</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655B02A7" w14:textId="09F61E6A" w:rsidR="005E361D" w:rsidRPr="00174138" w:rsidRDefault="005E361D" w:rsidP="00563C13">
            <w:pPr>
              <w:spacing w:before="0" w:after="0" w:line="240" w:lineRule="auto"/>
              <w:contextualSpacing w:val="0"/>
              <w:textAlignment w:val="bottom"/>
              <w:rPr>
                <w:rFonts w:cs="Arial"/>
                <w:color w:val="auto"/>
                <w:sz w:val="14"/>
                <w:szCs w:val="14"/>
                <w:lang w:val="en-US"/>
              </w:rPr>
            </w:pPr>
            <w:r w:rsidRPr="00174138">
              <w:rPr>
                <w:rFonts w:cs="Arial"/>
                <w:kern w:val="24"/>
                <w:sz w:val="14"/>
                <w:szCs w:val="14"/>
              </w:rPr>
              <w:t>4. Investiții în companii fără inițiative de reducere a emisiilor de carbon</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B1AD6" w14:textId="0975C251" w:rsidR="00F85F2B" w:rsidRPr="0087494E" w:rsidRDefault="00F85F2B" w:rsidP="00F85F2B">
            <w:pPr>
              <w:widowControl/>
              <w:suppressAutoHyphens w:val="0"/>
              <w:autoSpaceDN/>
              <w:spacing w:before="0" w:after="0" w:line="240" w:lineRule="auto"/>
              <w:contextualSpacing w:val="0"/>
              <w:textAlignment w:val="bottom"/>
              <w:rPr>
                <w:rFonts w:eastAsia="Calibri" w:cs="Arial"/>
                <w:color w:val="auto"/>
                <w:sz w:val="14"/>
                <w:szCs w:val="14"/>
                <w:lang w:eastAsia="en-US"/>
              </w:rPr>
            </w:pPr>
            <w:r w:rsidRPr="00174138">
              <w:rPr>
                <w:rFonts w:eastAsia="Calibri" w:cs="Arial"/>
                <w:color w:val="auto"/>
                <w:sz w:val="14"/>
                <w:szCs w:val="14"/>
                <w:lang w:eastAsia="en-US"/>
              </w:rPr>
              <w:t>1.7 (Factori și riscuri de mediu)</w:t>
            </w:r>
          </w:p>
          <w:p w14:paraId="41A81A3A" w14:textId="4AC1AE81" w:rsidR="005E361D" w:rsidRPr="0087494E" w:rsidRDefault="005E361D" w:rsidP="00F85F2B">
            <w:pPr>
              <w:widowControl/>
              <w:suppressAutoHyphens w:val="0"/>
              <w:autoSpaceDN/>
              <w:spacing w:before="0" w:after="0" w:line="240" w:lineRule="auto"/>
              <w:contextualSpacing w:val="0"/>
              <w:textAlignment w:val="bottom"/>
              <w:rPr>
                <w:rFonts w:eastAsia="Calibri" w:cs="Arial"/>
                <w:color w:val="auto"/>
                <w:sz w:val="14"/>
                <w:szCs w:val="14"/>
                <w:lang w:eastAsia="en-US"/>
              </w:rPr>
            </w:pP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28C0C518" w14:textId="05AC5DB8" w:rsidR="00F85F2B" w:rsidRPr="0087494E" w:rsidRDefault="00F85F2B" w:rsidP="005B4A67">
            <w:pPr>
              <w:widowControl/>
              <w:suppressAutoHyphens w:val="0"/>
              <w:autoSpaceDN/>
              <w:spacing w:before="0" w:after="0" w:line="240" w:lineRule="auto"/>
              <w:contextualSpacing w:val="0"/>
              <w:jc w:val="center"/>
              <w:textAlignment w:val="bottom"/>
              <w:rPr>
                <w:rFonts w:eastAsia="Calibri" w:cs="Arial"/>
                <w:color w:val="auto"/>
                <w:sz w:val="14"/>
                <w:szCs w:val="14"/>
                <w:lang w:eastAsia="en-US"/>
              </w:rPr>
            </w:pPr>
            <w:r w:rsidRPr="00174138">
              <w:rPr>
                <w:rFonts w:eastAsia="Calibri" w:cs="Arial"/>
                <w:color w:val="auto"/>
                <w:sz w:val="14"/>
                <w:szCs w:val="14"/>
                <w:lang w:eastAsia="en-US"/>
              </w:rPr>
              <w:t>Angajament legat de strategia și angajamentele grupului.</w:t>
            </w:r>
          </w:p>
          <w:p w14:paraId="065603C9" w14:textId="35AC588E" w:rsidR="00F85F2B" w:rsidRPr="00174138" w:rsidRDefault="000B38B0" w:rsidP="005B4A67">
            <w:pPr>
              <w:widowControl/>
              <w:suppressAutoHyphens w:val="0"/>
              <w:autoSpaceDN/>
              <w:spacing w:before="0" w:after="0" w:line="240" w:lineRule="auto"/>
              <w:contextualSpacing w:val="0"/>
              <w:jc w:val="center"/>
              <w:textAlignment w:val="bottom"/>
              <w:rPr>
                <w:rFonts w:eastAsia="Calibri" w:cs="Arial"/>
                <w:color w:val="auto"/>
                <w:sz w:val="14"/>
                <w:szCs w:val="14"/>
                <w:lang w:val="en-GB" w:eastAsia="en-US"/>
              </w:rPr>
            </w:pPr>
            <w:r w:rsidRPr="00174138">
              <w:rPr>
                <w:rFonts w:eastAsia="Calibri" w:cs="Arial"/>
                <w:color w:val="auto"/>
                <w:sz w:val="14"/>
                <w:szCs w:val="14"/>
                <w:lang w:eastAsia="en-US"/>
              </w:rPr>
              <w:t>&amp;</w:t>
            </w:r>
          </w:p>
          <w:p w14:paraId="6F81BC5F" w14:textId="5EB08A09" w:rsidR="005E361D" w:rsidRPr="00174138" w:rsidRDefault="00F85F2B" w:rsidP="005B4A67">
            <w:pPr>
              <w:widowControl/>
              <w:suppressAutoHyphens w:val="0"/>
              <w:autoSpaceDN/>
              <w:spacing w:before="0" w:after="0" w:line="240" w:lineRule="auto"/>
              <w:contextualSpacing w:val="0"/>
              <w:jc w:val="center"/>
              <w:textAlignment w:val="bottom"/>
              <w:rPr>
                <w:rFonts w:cs="Arial"/>
                <w:color w:val="auto"/>
                <w:sz w:val="14"/>
                <w:szCs w:val="14"/>
                <w:lang w:val="en-GB"/>
              </w:rPr>
            </w:pPr>
            <w:r w:rsidRPr="00174138">
              <w:rPr>
                <w:rFonts w:eastAsia="Calibri" w:cs="Arial"/>
                <w:color w:val="auto"/>
                <w:sz w:val="14"/>
                <w:szCs w:val="14"/>
                <w:lang w:eastAsia="en-US"/>
              </w:rPr>
              <w:t>Angajament pentru managementul portofoliului</w:t>
            </w: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13CF55A0" w14:textId="4094097A" w:rsidR="000B38B0" w:rsidRPr="00174138" w:rsidRDefault="005B4A67" w:rsidP="008A1CB6">
            <w:pPr>
              <w:widowControl/>
              <w:suppressAutoHyphens w:val="0"/>
              <w:autoSpaceDN/>
              <w:spacing w:before="0" w:after="0" w:line="240" w:lineRule="auto"/>
              <w:contextualSpacing w:val="0"/>
              <w:jc w:val="center"/>
              <w:textAlignment w:val="bottom"/>
              <w:rPr>
                <w:rFonts w:eastAsia="Calibri" w:cs="Arial"/>
                <w:color w:val="auto"/>
                <w:sz w:val="14"/>
                <w:szCs w:val="14"/>
                <w:lang w:val="en-GB" w:eastAsia="en-US"/>
              </w:rPr>
            </w:pPr>
            <w:r w:rsidRPr="00174138">
              <w:rPr>
                <w:rFonts w:eastAsia="Calibri" w:cs="Arial"/>
                <w:color w:val="auto"/>
                <w:sz w:val="14"/>
                <w:szCs w:val="14"/>
                <w:lang w:eastAsia="en-US"/>
              </w:rPr>
              <w:t>Decarbonizarea portofoliului și</w:t>
            </w:r>
          </w:p>
          <w:p w14:paraId="5F248471" w14:textId="4AAAC188" w:rsidR="005E361D" w:rsidRPr="00174138" w:rsidRDefault="005B4A67"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eastAsia="Calibri" w:cs="Arial"/>
                <w:color w:val="auto"/>
                <w:sz w:val="14"/>
                <w:szCs w:val="14"/>
                <w:lang w:eastAsia="en-US"/>
              </w:rPr>
              <w:t>Screening negativ</w:t>
            </w:r>
          </w:p>
        </w:tc>
      </w:tr>
      <w:tr w:rsidR="00910C57" w:rsidRPr="00174138" w14:paraId="716E56E2" w14:textId="03665717" w:rsidTr="00324689">
        <w:trPr>
          <w:trHeight w:val="294"/>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08542B89"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Nu</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2016D766" w14:textId="77777777"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rPr>
            </w:pPr>
            <w:r w:rsidRPr="00174138">
              <w:rPr>
                <w:rFonts w:cs="Arial"/>
                <w:kern w:val="24"/>
                <w:sz w:val="14"/>
                <w:szCs w:val="14"/>
              </w:rPr>
              <w:t>Guvernare</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hideMark/>
          </w:tcPr>
          <w:p w14:paraId="1873B37F" w14:textId="4FE3AD98" w:rsidR="005E361D" w:rsidRPr="00174138" w:rsidRDefault="005E361D" w:rsidP="00563C13">
            <w:pPr>
              <w:widowControl/>
              <w:suppressAutoHyphens w:val="0"/>
              <w:autoSpaceDN/>
              <w:spacing w:before="0" w:after="0" w:line="240" w:lineRule="auto"/>
              <w:contextualSpacing w:val="0"/>
              <w:textAlignment w:val="bottom"/>
              <w:rPr>
                <w:rFonts w:cs="Arial"/>
                <w:color w:val="auto"/>
                <w:sz w:val="14"/>
                <w:szCs w:val="14"/>
                <w:lang w:val="en-US"/>
              </w:rPr>
            </w:pPr>
            <w:r w:rsidRPr="00174138">
              <w:rPr>
                <w:rFonts w:cs="Arial"/>
                <w:kern w:val="24"/>
                <w:sz w:val="14"/>
                <w:szCs w:val="14"/>
              </w:rPr>
              <w:t>22. Jurisdicții fiscale necooperante</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C9B11" w14:textId="616C16A3" w:rsidR="005E361D" w:rsidRPr="00174138" w:rsidRDefault="005E361D" w:rsidP="00563C13">
            <w:pPr>
              <w:widowControl/>
              <w:suppressAutoHyphens w:val="0"/>
              <w:autoSpaceDN/>
              <w:spacing w:before="0" w:after="0" w:line="240" w:lineRule="auto"/>
              <w:contextualSpacing w:val="0"/>
              <w:textAlignment w:val="bottom"/>
              <w:rPr>
                <w:rFonts w:eastAsia="Calibri" w:cs="Arial"/>
                <w:color w:val="auto"/>
                <w:sz w:val="14"/>
                <w:szCs w:val="14"/>
                <w:lang w:eastAsia="en-US"/>
              </w:rPr>
            </w:pPr>
            <w:r w:rsidRPr="00174138">
              <w:rPr>
                <w:rFonts w:cs="Arial"/>
                <w:kern w:val="24"/>
                <w:sz w:val="14"/>
                <w:szCs w:val="14"/>
              </w:rPr>
              <w:t>N/A</w:t>
            </w:r>
          </w:p>
        </w:tc>
        <w:tc>
          <w:tcPr>
            <w:tcW w:w="2665"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29B9CF21" w14:textId="39FEC96A"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eastAsia="Calibri" w:cs="Arial"/>
                <w:color w:val="auto"/>
                <w:sz w:val="14"/>
                <w:szCs w:val="14"/>
                <w:lang w:eastAsia="en-US"/>
              </w:rPr>
              <w:t>N/A</w:t>
            </w:r>
          </w:p>
        </w:tc>
        <w:tc>
          <w:tcPr>
            <w:tcW w:w="1644" w:type="dxa"/>
            <w:tcBorders>
              <w:top w:val="single" w:sz="4" w:space="0" w:color="auto"/>
              <w:left w:val="single" w:sz="4" w:space="0" w:color="auto"/>
              <w:bottom w:val="single" w:sz="4" w:space="0" w:color="auto"/>
              <w:right w:val="single" w:sz="4" w:space="0" w:color="auto"/>
            </w:tcBorders>
            <w:shd w:val="clear" w:color="auto" w:fill="FFFFFF" w:themeFill="background1"/>
            <w:tcMar>
              <w:top w:w="1" w:type="dxa"/>
              <w:left w:w="1" w:type="dxa"/>
              <w:bottom w:w="0" w:type="dxa"/>
              <w:right w:w="1" w:type="dxa"/>
            </w:tcMar>
            <w:vAlign w:val="center"/>
          </w:tcPr>
          <w:p w14:paraId="584BDD1C" w14:textId="77777777" w:rsidR="005E361D" w:rsidRPr="00174138" w:rsidRDefault="005E361D" w:rsidP="008A1CB6">
            <w:pPr>
              <w:widowControl/>
              <w:suppressAutoHyphens w:val="0"/>
              <w:autoSpaceDN/>
              <w:spacing w:before="0" w:after="0" w:line="240" w:lineRule="auto"/>
              <w:contextualSpacing w:val="0"/>
              <w:jc w:val="center"/>
              <w:textAlignment w:val="bottom"/>
              <w:rPr>
                <w:rFonts w:cs="Arial"/>
                <w:color w:val="auto"/>
                <w:sz w:val="14"/>
                <w:szCs w:val="14"/>
              </w:rPr>
            </w:pPr>
            <w:r w:rsidRPr="00174138">
              <w:rPr>
                <w:rFonts w:eastAsia="Calibri" w:cs="Arial"/>
                <w:color w:val="auto"/>
                <w:sz w:val="14"/>
                <w:szCs w:val="14"/>
                <w:lang w:eastAsia="en-US"/>
              </w:rPr>
              <w:t>N/A</w:t>
            </w:r>
          </w:p>
        </w:tc>
      </w:tr>
    </w:tbl>
    <w:p w14:paraId="73F0C41F" w14:textId="77777777" w:rsidR="00405DE2" w:rsidRPr="00174138" w:rsidRDefault="00405DE2" w:rsidP="00446E6E">
      <w:pPr>
        <w:widowControl/>
        <w:suppressAutoHyphens w:val="0"/>
        <w:autoSpaceDN/>
        <w:spacing w:before="0" w:after="0" w:line="240" w:lineRule="auto"/>
        <w:contextualSpacing w:val="0"/>
        <w:rPr>
          <w:b/>
          <w:bCs/>
          <w:lang w:val="en"/>
        </w:rPr>
      </w:pPr>
    </w:p>
    <w:p w14:paraId="0C16B8EF" w14:textId="77777777" w:rsidR="007A2C39" w:rsidRPr="0087494E" w:rsidRDefault="007A2C39" w:rsidP="007A2C39">
      <w:pPr>
        <w:suppressAutoHyphens w:val="0"/>
        <w:autoSpaceDN/>
        <w:spacing w:before="0" w:after="120" w:line="276" w:lineRule="auto"/>
        <w:contextualSpacing w:val="0"/>
        <w:jc w:val="both"/>
      </w:pPr>
      <w:r w:rsidRPr="00174138">
        <w:t>Pentru a-și urmări obiectivele, Grupul utilizează următoarele tipuri de angajamente:</w:t>
      </w:r>
    </w:p>
    <w:p w14:paraId="5EC1533B" w14:textId="0A3C588D" w:rsidR="007A2C39" w:rsidRPr="0087494E" w:rsidRDefault="007A2C39" w:rsidP="0027780C">
      <w:pPr>
        <w:numPr>
          <w:ilvl w:val="0"/>
          <w:numId w:val="13"/>
        </w:numPr>
        <w:suppressAutoHyphens w:val="0"/>
        <w:autoSpaceDN/>
        <w:spacing w:before="0" w:after="120" w:line="276" w:lineRule="auto"/>
        <w:contextualSpacing w:val="0"/>
        <w:jc w:val="both"/>
      </w:pPr>
      <w:r w:rsidRPr="00174138">
        <w:t>Angajamentul legat de managementul portofoliului: obiectivul este de a implica anumite companii cu performanțe slabe în materie de sustenabilitate, care prezintă totuși potențial de derivă către o conduită de afaceri mai durabilă. În special, acest angajament se concentrează pe companiile în care Grupul are un interes financiar pe termen lung, dar prezintă un risc semnificativ specific de sustenabilitate.</w:t>
      </w:r>
    </w:p>
    <w:p w14:paraId="39A2F74B" w14:textId="4EC156DD" w:rsidR="007A2C39" w:rsidRPr="0087494E" w:rsidRDefault="007A2C39" w:rsidP="0027780C">
      <w:pPr>
        <w:numPr>
          <w:ilvl w:val="0"/>
          <w:numId w:val="13"/>
        </w:numPr>
        <w:suppressAutoHyphens w:val="0"/>
        <w:autoSpaceDN/>
        <w:spacing w:before="0" w:after="120" w:line="276" w:lineRule="auto"/>
        <w:contextualSpacing w:val="0"/>
        <w:jc w:val="both"/>
      </w:pPr>
      <w:r w:rsidRPr="00174138">
        <w:t xml:space="preserve">Angajamentul legat de votul prin procură: obiectivul este de a stimula companiile în care s-a investit să-și îmbunătățească guvernanța, precum și practicile de sustenabilitate prin dialoguri cu companiile cu privire la voturile </w:t>
      </w:r>
      <w:r w:rsidR="00F0685F" w:rsidRPr="00174138">
        <w:t>exprimate</w:t>
      </w:r>
      <w:r w:rsidRPr="00174138">
        <w:t xml:space="preserve"> în exercitarea drepturilor de vot față de acestea.</w:t>
      </w:r>
    </w:p>
    <w:p w14:paraId="3BF5D190" w14:textId="619A0A44" w:rsidR="007A2C39" w:rsidRPr="0087494E" w:rsidRDefault="007A2C39" w:rsidP="0027780C">
      <w:pPr>
        <w:numPr>
          <w:ilvl w:val="0"/>
          <w:numId w:val="13"/>
        </w:numPr>
        <w:suppressAutoHyphens w:val="0"/>
        <w:autoSpaceDN/>
        <w:spacing w:before="0" w:after="120" w:line="276" w:lineRule="auto"/>
        <w:contextualSpacing w:val="0"/>
        <w:jc w:val="both"/>
      </w:pPr>
      <w:r w:rsidRPr="00174138">
        <w:t>Angajamentul legat de strategia și angajamentele Grupului: obiectivul este de a implica anumite companii pe baza considerațiilor strategice legate de Grup (de exemplu, Strategia de afaceri, Strategia de sustenabilitate, Strategia de investiții durabile) și angajamentele externe existente (de exemplu, Pactul Global al ONU) sau codurile locale de administrare, la care Grupul aderă în mod voluntar.</w:t>
      </w:r>
    </w:p>
    <w:p w14:paraId="1E7460CC" w14:textId="77777777" w:rsidR="00404D12" w:rsidRPr="0087494E" w:rsidRDefault="00404D12" w:rsidP="00724131">
      <w:pPr>
        <w:spacing w:before="0" w:after="120" w:line="276" w:lineRule="auto"/>
        <w:contextualSpacing w:val="0"/>
        <w:jc w:val="both"/>
        <w:rPr>
          <w:b/>
          <w:bCs/>
        </w:rPr>
      </w:pPr>
      <w:r w:rsidRPr="00174138">
        <w:rPr>
          <w:b/>
          <w:bCs/>
        </w:rPr>
        <w:t>Procedura de escaladare</w:t>
      </w:r>
    </w:p>
    <w:p w14:paraId="71B22F9F" w14:textId="0932C30F" w:rsidR="00404D12" w:rsidRPr="0087494E" w:rsidRDefault="00404D12" w:rsidP="00724131">
      <w:pPr>
        <w:spacing w:before="0" w:after="120" w:line="276" w:lineRule="auto"/>
        <w:contextualSpacing w:val="0"/>
        <w:jc w:val="both"/>
        <w:rPr>
          <w:szCs w:val="18"/>
        </w:rPr>
      </w:pPr>
      <w:r w:rsidRPr="00174138">
        <w:rPr>
          <w:szCs w:val="18"/>
        </w:rPr>
        <w:t xml:space="preserve">În cazul în care nu există o reducere a principalelor efecte negative </w:t>
      </w:r>
      <w:r w:rsidR="003C75EA" w:rsidRPr="00890649">
        <w:rPr>
          <w:szCs w:val="18"/>
        </w:rPr>
        <w:t>pentru două perioade de raportare consecutive</w:t>
      </w:r>
      <w:r w:rsidRPr="00174138">
        <w:rPr>
          <w:szCs w:val="18"/>
        </w:rPr>
        <w:t xml:space="preserve">, putem: a) adopta proceduri de escaladare deja prevăzute de principiile noastre de acționariat activ; b) modificarea principiilor noastre de proprietate activă pentru a ne înăspri angajamentul sau comportamentul de vot sau pentru a prevedea proceduri suplimentare de escaladare (de exemplu, votul împotriva remunerației directorilor sau împotriva bilanțului).  </w:t>
      </w:r>
    </w:p>
    <w:p w14:paraId="1AE87CA3" w14:textId="6FBB1DC8" w:rsidR="007A2C39" w:rsidRPr="0087494E" w:rsidRDefault="00404D12" w:rsidP="00724131">
      <w:pPr>
        <w:spacing w:before="0" w:after="120" w:line="276" w:lineRule="auto"/>
        <w:contextualSpacing w:val="0"/>
        <w:jc w:val="both"/>
        <w:rPr>
          <w:szCs w:val="18"/>
        </w:rPr>
      </w:pPr>
      <w:r w:rsidRPr="00174138">
        <w:rPr>
          <w:szCs w:val="18"/>
        </w:rPr>
        <w:t xml:space="preserve">În ceea ce privește procedurile de escaladare a practicilor noastre de angajare, în conformitate cu principiile noastre de vot, atunci când Grupul nu vede progrese în ciuda angajamentului continuu sau companiile nu sunt suficient de receptive la aspectele pe care Grupul le consideră că contribuie la crearea de valoare pe termen lung sau când planul de remediere al societății în care s-a investit pare slab, Grupul își poate semnala dezamăgirea față de compania relevantă votând împotriva propunerilor relevante ale conducerii care abordează direct subiectul îngrijorarea și/sau exprimarea indirectă a contrarietății (de exemplu, votând </w:t>
      </w:r>
      <w:r w:rsidRPr="00174138">
        <w:rPr>
          <w:szCs w:val="18"/>
        </w:rPr>
        <w:lastRenderedPageBreak/>
        <w:t>împotriva îndeplinirii responsabilității directorilor pe piețele în care aceasta este o opțiune, reținând sprijinul pentru realegerea membrilor responsabili ai Consiliului de Administrație, opunându-se remunerației directorilor care nu are o legătură cu obiectivele de sustenabilitate pe care Grupul le susține în efortul său de</w:t>
      </w:r>
      <w:r w:rsidR="00493A26">
        <w:rPr>
          <w:szCs w:val="18"/>
        </w:rPr>
        <w:t xml:space="preserve"> angajament</w:t>
      </w:r>
      <w:r w:rsidRPr="00174138">
        <w:rPr>
          <w:szCs w:val="18"/>
        </w:rPr>
        <w:t>). Alte exemple de proceduri de escaladare în practicile noastre de vot includ votul împotriva directorilor responsabili în situații de încălcări grave sau sistematice sau lipsa proceselor și mecanismelor de conformitate în ceea ce privește factorii de mediu (inclusiv atenuarea schimbărilor climatice și adaptarea la acestea) și factorii sociali (inclusiv situații de practici proaste de angajare, muncă și salarizare).</w:t>
      </w:r>
    </w:p>
    <w:p w14:paraId="0E15A1C4" w14:textId="0E41F938" w:rsidR="00612FB2" w:rsidRPr="0087494E" w:rsidRDefault="00612FB2">
      <w:pPr>
        <w:widowControl/>
        <w:suppressAutoHyphens w:val="0"/>
        <w:spacing w:before="0" w:after="0" w:line="240" w:lineRule="auto"/>
        <w:contextualSpacing w:val="0"/>
        <w:rPr>
          <w:b/>
          <w:caps/>
          <w:color w:val="BD2027"/>
          <w:sz w:val="22"/>
          <w:szCs w:val="22"/>
        </w:rPr>
      </w:pPr>
      <w:bookmarkStart w:id="27" w:name="_Toc251333578"/>
      <w:bookmarkStart w:id="28" w:name="_Toc114500306"/>
    </w:p>
    <w:p w14:paraId="70665F1F" w14:textId="41E52051" w:rsidR="00F44908" w:rsidRPr="00174138" w:rsidRDefault="003A5D18" w:rsidP="001F2A25">
      <w:pPr>
        <w:pStyle w:val="Heading2"/>
        <w:spacing w:before="240" w:after="120" w:line="240" w:lineRule="auto"/>
        <w:ind w:left="578" w:hanging="578"/>
        <w:contextualSpacing w:val="0"/>
        <w:rPr>
          <w:lang w:val="en-US"/>
        </w:rPr>
      </w:pPr>
      <w:bookmarkStart w:id="29" w:name="_Toc136509352"/>
      <w:bookmarkStart w:id="30" w:name="_Toc138088061"/>
      <w:r w:rsidRPr="00174138">
        <w:t>Referințe la standarde internaționale</w:t>
      </w:r>
      <w:bookmarkEnd w:id="27"/>
      <w:bookmarkEnd w:id="28"/>
      <w:bookmarkEnd w:id="29"/>
      <w:bookmarkEnd w:id="30"/>
    </w:p>
    <w:p w14:paraId="40AE0D60" w14:textId="77777777" w:rsidR="005829E8" w:rsidRPr="00174138" w:rsidRDefault="005829E8" w:rsidP="003A5D18">
      <w:pPr>
        <w:rPr>
          <w:i/>
          <w:iCs/>
          <w:color w:val="FF0000"/>
          <w:lang w:val="en-US"/>
        </w:rPr>
      </w:pPr>
    </w:p>
    <w:p w14:paraId="1E089B8B" w14:textId="08D04CF4" w:rsidR="00953461" w:rsidRPr="0087494E" w:rsidRDefault="00953461" w:rsidP="00BC477C">
      <w:pPr>
        <w:spacing w:before="0" w:after="120" w:line="276" w:lineRule="auto"/>
        <w:contextualSpacing w:val="0"/>
        <w:jc w:val="both"/>
        <w:rPr>
          <w:rFonts w:cs="Arial"/>
          <w:szCs w:val="18"/>
        </w:rPr>
      </w:pPr>
      <w:r w:rsidRPr="00174138">
        <w:rPr>
          <w:rFonts w:cs="Arial"/>
          <w:szCs w:val="18"/>
        </w:rPr>
        <w:t>Pentru a-și confirma angajamentul multianual față de sustenabilitate, de-a lungul anilor, Grupul s-a alăturat mai multor inițiative de referință, cum ar fi Pactul Global al Națiunilor Unite în 2007, PRI (Principiile pentru Investiții Responsabile</w:t>
      </w:r>
      <w:r w:rsidR="001A2D94" w:rsidRPr="00174138">
        <w:rPr>
          <w:rStyle w:val="FootnoteReference"/>
          <w:rFonts w:cs="Arial"/>
          <w:szCs w:val="18"/>
        </w:rPr>
        <w:footnoteReference w:id="16"/>
      </w:r>
      <w:r w:rsidRPr="00174138">
        <w:rPr>
          <w:rFonts w:cs="Arial"/>
          <w:szCs w:val="18"/>
        </w:rPr>
        <w:t xml:space="preserve">) în 2011 și a sprijinit Acordul de la Paris (2015). </w:t>
      </w:r>
    </w:p>
    <w:p w14:paraId="4C50A167" w14:textId="7EBFAD82" w:rsidR="00FA2F8E" w:rsidRPr="0087494E" w:rsidRDefault="00CF7448" w:rsidP="00BC477C">
      <w:pPr>
        <w:spacing w:before="0" w:after="120" w:line="276" w:lineRule="auto"/>
        <w:contextualSpacing w:val="0"/>
        <w:jc w:val="both"/>
        <w:rPr>
          <w:rFonts w:cs="Arial"/>
          <w:szCs w:val="18"/>
        </w:rPr>
      </w:pPr>
      <w:r w:rsidRPr="00174138">
        <w:rPr>
          <w:rFonts w:cs="Arial"/>
          <w:szCs w:val="18"/>
        </w:rPr>
        <w:t xml:space="preserve">Acest paragraf prezintă legătura concretă dintre indicatorii PAI prioritizați și principalele angajamente și standardele recunoscute la nivel internațional la care aderă Grupul. </w:t>
      </w:r>
    </w:p>
    <w:p w14:paraId="1E3F1766" w14:textId="77777777" w:rsidR="00CC22BF" w:rsidRPr="0087494E" w:rsidRDefault="00CC22BF" w:rsidP="00BC477C">
      <w:pPr>
        <w:spacing w:before="0" w:after="120" w:line="276" w:lineRule="auto"/>
        <w:contextualSpacing w:val="0"/>
        <w:jc w:val="both"/>
        <w:rPr>
          <w:rFonts w:cs="Arial"/>
          <w:szCs w:val="18"/>
        </w:rPr>
      </w:pPr>
    </w:p>
    <w:p w14:paraId="44609D24" w14:textId="1A40D3E8" w:rsidR="00B74034" w:rsidRPr="0087494E" w:rsidRDefault="00B74034" w:rsidP="00BC477C">
      <w:pPr>
        <w:widowControl/>
        <w:suppressAutoHyphens w:val="0"/>
        <w:autoSpaceDN/>
        <w:spacing w:before="0" w:after="120" w:line="276" w:lineRule="auto"/>
        <w:contextualSpacing w:val="0"/>
        <w:jc w:val="both"/>
        <w:rPr>
          <w:rFonts w:cs="Arial"/>
          <w:b/>
          <w:i/>
          <w:szCs w:val="18"/>
        </w:rPr>
      </w:pPr>
      <w:r w:rsidRPr="00174138">
        <w:rPr>
          <w:rFonts w:cs="Arial"/>
          <w:b/>
          <w:i/>
          <w:szCs w:val="18"/>
        </w:rPr>
        <w:t>Acordul de la Paris</w:t>
      </w:r>
    </w:p>
    <w:p w14:paraId="131BFA26" w14:textId="6C40CE7B" w:rsidR="002418FE" w:rsidRPr="0087494E" w:rsidRDefault="002418FE" w:rsidP="00BC477C">
      <w:pPr>
        <w:suppressAutoHyphens w:val="0"/>
        <w:autoSpaceDN/>
        <w:spacing w:before="0" w:after="120" w:line="276" w:lineRule="auto"/>
        <w:contextualSpacing w:val="0"/>
        <w:jc w:val="both"/>
      </w:pPr>
      <w:r w:rsidRPr="00174138">
        <w:rPr>
          <w:u w:val="single"/>
        </w:rPr>
        <w:t>PAI de referință</w:t>
      </w:r>
      <w:r w:rsidRPr="00174138">
        <w:t>: PAI 1-5</w:t>
      </w:r>
    </w:p>
    <w:p w14:paraId="33584764" w14:textId="0AAC7464" w:rsidR="002418FE" w:rsidRPr="0087494E" w:rsidRDefault="002418FE" w:rsidP="00BC477C">
      <w:pPr>
        <w:suppressAutoHyphens w:val="0"/>
        <w:autoSpaceDN/>
        <w:spacing w:before="0" w:after="120" w:line="276" w:lineRule="auto"/>
        <w:contextualSpacing w:val="0"/>
        <w:jc w:val="both"/>
      </w:pPr>
      <w:r w:rsidRPr="00174138">
        <w:rPr>
          <w:u w:val="single"/>
        </w:rPr>
        <w:t>Surse de date pentru calcularea PAI</w:t>
      </w:r>
      <w:r w:rsidR="00982092" w:rsidRPr="00174138">
        <w:t>: MSCI,</w:t>
      </w:r>
      <w:r w:rsidR="000D50F9">
        <w:t xml:space="preserve"> Morningstar</w:t>
      </w:r>
    </w:p>
    <w:p w14:paraId="348BE370" w14:textId="1C757E0F" w:rsidR="006F11DD" w:rsidRPr="0087494E" w:rsidRDefault="002418FE" w:rsidP="00BC477C">
      <w:pPr>
        <w:suppressAutoHyphens w:val="0"/>
        <w:autoSpaceDN/>
        <w:spacing w:before="0" w:after="120" w:line="276" w:lineRule="auto"/>
        <w:contextualSpacing w:val="0"/>
        <w:jc w:val="both"/>
        <w:rPr>
          <w:u w:val="single"/>
        </w:rPr>
      </w:pPr>
      <w:r w:rsidRPr="00174138">
        <w:rPr>
          <w:u w:val="single"/>
        </w:rPr>
        <w:t>Metodologia și datele utilizate:</w:t>
      </w:r>
    </w:p>
    <w:p w14:paraId="3FD0480D" w14:textId="54EDED8A" w:rsidR="006F11DD" w:rsidRPr="0087494E" w:rsidRDefault="006F11DD" w:rsidP="00BC477C">
      <w:pPr>
        <w:spacing w:before="0" w:after="120" w:line="276" w:lineRule="auto"/>
        <w:contextualSpacing w:val="0"/>
        <w:jc w:val="both"/>
        <w:rPr>
          <w:rFonts w:cs="Arial"/>
          <w:szCs w:val="18"/>
        </w:rPr>
      </w:pPr>
      <w:r w:rsidRPr="00174138">
        <w:rPr>
          <w:rFonts w:cs="Arial"/>
          <w:szCs w:val="18"/>
        </w:rPr>
        <w:t>Schimbările climatice se numără printre cele mai importante provocări cu care se confruntă societatea globală. În ceea ce privește sustenabilitatea în sens larg, combaterea schimbărilor climatice face parte din îndatoririle noastre morale pentru un viitor mai durabil și din îndatoririle noastre de gestionare a riscurilor față de părțile interesate.</w:t>
      </w:r>
    </w:p>
    <w:p w14:paraId="5EDDB197" w14:textId="487D9F1B" w:rsidR="00957A25" w:rsidRPr="0087494E" w:rsidRDefault="00DC4C86" w:rsidP="00BC477C">
      <w:pPr>
        <w:spacing w:before="0" w:after="120" w:line="276" w:lineRule="auto"/>
        <w:contextualSpacing w:val="0"/>
        <w:jc w:val="both"/>
        <w:rPr>
          <w:rFonts w:cs="Arial"/>
          <w:szCs w:val="18"/>
        </w:rPr>
      </w:pPr>
      <w:r w:rsidRPr="00174138">
        <w:rPr>
          <w:rFonts w:cs="Arial"/>
          <w:szCs w:val="18"/>
        </w:rPr>
        <w:t xml:space="preserve">Generali susține obiectivul Acordului de la Paris și, în calitate de membru al Net Zero Asset Owner Alliance, se angajează să își tranziționeze portofoliile de investiții la zero emisii nete de CO2 până în 2050, cu scopul de a limita încălzirea globală la 1,5°C (conform scenariului IPCC 1,5°). În 2022, Grupul și-a actualizat </w:t>
      </w:r>
      <w:r w:rsidR="00957A25" w:rsidRPr="004F7F42">
        <w:rPr>
          <w:rFonts w:cs="Arial"/>
          <w:color w:val="C00000"/>
          <w:szCs w:val="18"/>
        </w:rPr>
        <w:t xml:space="preserve">Strategia privind schimbările climatice, </w:t>
      </w:r>
      <w:r w:rsidR="00957A25" w:rsidRPr="00174138">
        <w:rPr>
          <w:rFonts w:cs="Arial"/>
          <w:szCs w:val="18"/>
        </w:rPr>
        <w:t xml:space="preserve"> concentrându-se pe criterii mai stricte pentru excluderea activităților dăunătoare climei (în principal cărbune termic) și pe creșterea ambițiilor pentru finanțarea activităților care oferă soluții pentru reducerea emisiilor de gaze cu efect de seră. Restricțiile existente asupra nisipurilor bituminoase au fost, de asemenea, integrate cu restricții asupra altor hidrocarburi extrase prin fracturare și extracție în Arctica, o zonă deosebit de sensibilă din punct de vedere al biodiversității.</w:t>
      </w:r>
    </w:p>
    <w:p w14:paraId="79F2CDC3" w14:textId="77777777" w:rsidR="00957A25" w:rsidRPr="0087494E" w:rsidRDefault="00957A25" w:rsidP="00BC477C">
      <w:pPr>
        <w:spacing w:before="0" w:after="120" w:line="276" w:lineRule="auto"/>
        <w:contextualSpacing w:val="0"/>
        <w:jc w:val="both"/>
        <w:rPr>
          <w:rFonts w:cs="Arial"/>
          <w:szCs w:val="18"/>
        </w:rPr>
      </w:pPr>
      <w:r w:rsidRPr="00174138">
        <w:rPr>
          <w:rFonts w:cs="Arial"/>
          <w:szCs w:val="18"/>
        </w:rPr>
        <w:t>Angajamentul Grupului în lupta împotriva schimbărilor climatice este exprimat în mai multe strategii de investiții legate de:</w:t>
      </w:r>
    </w:p>
    <w:p w14:paraId="72CC9EDC" w14:textId="1F04B110" w:rsidR="00957A25" w:rsidRPr="0087494E" w:rsidRDefault="00957A25" w:rsidP="0027780C">
      <w:pPr>
        <w:numPr>
          <w:ilvl w:val="0"/>
          <w:numId w:val="18"/>
        </w:numPr>
        <w:suppressAutoHyphens w:val="0"/>
        <w:autoSpaceDN/>
        <w:spacing w:before="0" w:after="120" w:line="276" w:lineRule="auto"/>
        <w:contextualSpacing w:val="0"/>
        <w:jc w:val="both"/>
      </w:pPr>
      <w:r w:rsidRPr="00174138">
        <w:t>excluderea de la investiții a activităților dăunătoare climei, cum ar fi cărbunele termic și petrolul și gazele neconvenționale, inclusiv angajamentul de a elimina treptat cărbunele termic din portofoliul de investiții până în 2030 pentru țările OCDE și 2040 pentru țările non-OCDE.</w:t>
      </w:r>
    </w:p>
    <w:p w14:paraId="2EF742DA" w14:textId="1CF7FCEE" w:rsidR="00957A25" w:rsidRPr="0087494E" w:rsidRDefault="00957A25" w:rsidP="0027780C">
      <w:pPr>
        <w:numPr>
          <w:ilvl w:val="0"/>
          <w:numId w:val="18"/>
        </w:numPr>
        <w:suppressAutoHyphens w:val="0"/>
        <w:autoSpaceDN/>
        <w:spacing w:before="0" w:after="120" w:line="276" w:lineRule="auto"/>
        <w:contextualSpacing w:val="0"/>
        <w:jc w:val="both"/>
      </w:pPr>
      <w:r w:rsidRPr="00174138">
        <w:t xml:space="preserve">angajamentul nostru față de decarbonizarea investițiilor, prin ținta intermediară de decarbonizare pentru anul </w:t>
      </w:r>
      <w:r w:rsidR="004D79EE">
        <w:t xml:space="preserve">2029 </w:t>
      </w:r>
      <w:r w:rsidR="009A47A0" w:rsidRPr="00174138">
        <w:t>de -</w:t>
      </w:r>
      <w:r w:rsidR="004D79EE">
        <w:t>60</w:t>
      </w:r>
      <w:r w:rsidR="009A47A0" w:rsidRPr="00174138">
        <w:t>% pentru portofoliul corporativ. Obiectivele de decarbonizare au fost stabilite în funcție de dovezi bazate pe știință (</w:t>
      </w:r>
      <w:r w:rsidR="007F00BD">
        <w:t xml:space="preserve">conform </w:t>
      </w:r>
      <w:r w:rsidR="00FD4F03" w:rsidRPr="00174138">
        <w:t xml:space="preserve"> scenariilor</w:t>
      </w:r>
      <w:r w:rsidR="007F00BD">
        <w:t xml:space="preserve"> IPCC</w:t>
      </w:r>
      <w:r w:rsidR="00FD4F03" w:rsidRPr="00174138">
        <w:t xml:space="preserve"> 1,5°</w:t>
      </w:r>
      <w:r w:rsidR="00A4030A">
        <w:t>)</w:t>
      </w:r>
    </w:p>
    <w:p w14:paraId="14EC4CAE" w14:textId="693A376C" w:rsidR="002237BD" w:rsidRPr="0087494E" w:rsidRDefault="00957A25" w:rsidP="0027780C">
      <w:pPr>
        <w:numPr>
          <w:ilvl w:val="0"/>
          <w:numId w:val="18"/>
        </w:numPr>
        <w:suppressAutoHyphens w:val="0"/>
        <w:autoSpaceDN/>
        <w:spacing w:before="0" w:after="120" w:line="276" w:lineRule="auto"/>
        <w:contextualSpacing w:val="0"/>
        <w:jc w:val="both"/>
      </w:pPr>
      <w:r w:rsidRPr="00174138">
        <w:t xml:space="preserve">investiții în activități care sunt motoare ale schimbării, inclusiv o țintă de </w:t>
      </w:r>
      <w:r w:rsidR="001D64A2">
        <w:t>investiții de 12</w:t>
      </w:r>
      <w:r w:rsidR="004053D4" w:rsidRPr="00174138">
        <w:t xml:space="preserve"> miliarde </w:t>
      </w:r>
      <w:r w:rsidR="001D64A2">
        <w:t xml:space="preserve">în investiții în soluții climatice </w:t>
      </w:r>
      <w:r w:rsidR="00BB5739" w:rsidRPr="00174138">
        <w:t xml:space="preserve">până în anul </w:t>
      </w:r>
      <w:r w:rsidR="001D64A2">
        <w:t>2027</w:t>
      </w:r>
      <w:r w:rsidR="004053D4" w:rsidRPr="00174138">
        <w:t xml:space="preserve">. </w:t>
      </w:r>
    </w:p>
    <w:p w14:paraId="303E14C1" w14:textId="7827B605" w:rsidR="00444CFD" w:rsidRPr="0087494E" w:rsidRDefault="007B7851" w:rsidP="00BC477C">
      <w:pPr>
        <w:spacing w:before="0" w:after="120" w:line="276" w:lineRule="auto"/>
        <w:contextualSpacing w:val="0"/>
        <w:jc w:val="both"/>
        <w:rPr>
          <w:rFonts w:cs="Arial"/>
          <w:szCs w:val="18"/>
        </w:rPr>
      </w:pPr>
      <w:r w:rsidRPr="00174138">
        <w:rPr>
          <w:rFonts w:cs="Arial"/>
          <w:szCs w:val="18"/>
        </w:rPr>
        <w:t xml:space="preserve">În ceea ce privește sursa de date, MSCI este în prezent furnizorul pentru calculul și publicarea acestor PAI. MSCI este, de asemenea, în prezent principalul furnizor de date utilizate de Grup pentru implementarea strategiilor menționate mai sus (de exemplu, date privind emisiile de carbon, informații privind </w:t>
      </w:r>
      <w:r w:rsidR="00C65B67">
        <w:rPr>
          <w:rFonts w:cs="Arial"/>
          <w:szCs w:val="18"/>
        </w:rPr>
        <w:t>angajamentul</w:t>
      </w:r>
      <w:r w:rsidRPr="00174138">
        <w:rPr>
          <w:rFonts w:cs="Arial"/>
          <w:szCs w:val="18"/>
        </w:rPr>
        <w:t xml:space="preserve"> emitentului în cărbune, cum ar fi % venituri pentru cărbune termic, % din producția de energie din cărbune). O suprapunere suplimentară a evaluării interne, bazată pe cercetarea internă ESG, se realizează pe baza semnificației emitentului pentru portofoliul de investiții.</w:t>
      </w:r>
    </w:p>
    <w:p w14:paraId="264FD428" w14:textId="67A3667E" w:rsidR="005808CB" w:rsidRPr="0087494E" w:rsidRDefault="00EA6143" w:rsidP="00BC477C">
      <w:pPr>
        <w:spacing w:before="0" w:after="120" w:line="276" w:lineRule="auto"/>
        <w:contextualSpacing w:val="0"/>
        <w:jc w:val="both"/>
        <w:rPr>
          <w:rFonts w:cs="Arial"/>
          <w:szCs w:val="18"/>
        </w:rPr>
      </w:pPr>
      <w:r w:rsidRPr="00174138">
        <w:rPr>
          <w:rFonts w:cs="Arial"/>
          <w:szCs w:val="18"/>
        </w:rPr>
        <w:lastRenderedPageBreak/>
        <w:t xml:space="preserve">De remarcat faptul că, începând de astăzi, obiectivele de decarbonizare ale Grupului pentru portofoliul corporativ pentru YE </w:t>
      </w:r>
      <w:r w:rsidR="001D64A2">
        <w:rPr>
          <w:rFonts w:cs="Arial"/>
          <w:szCs w:val="18"/>
        </w:rPr>
        <w:t>29</w:t>
      </w:r>
      <w:r w:rsidR="0015241F" w:rsidRPr="00174138">
        <w:rPr>
          <w:rFonts w:cs="Arial"/>
          <w:szCs w:val="18"/>
        </w:rPr>
        <w:t xml:space="preserve"> se aplică numai în domeniul de aplicare 1 și 2, în timp ce PAI 1, 2 și 3 includ și domeniul de aplicare 3. Generali lucrează pentru a clarifica problemele metodologice legate de domeniul de aplicare 3, precum și subiectele legate de calitatea datelor și pentru a îmbunătăți abordarea de stabilire a țintelor pentru domeniul de aplicare 3.</w:t>
      </w:r>
    </w:p>
    <w:p w14:paraId="609933D2" w14:textId="77777777" w:rsidR="003D4FD0" w:rsidRPr="00174138" w:rsidRDefault="00EA651C" w:rsidP="00BC477C">
      <w:pPr>
        <w:spacing w:before="0" w:after="120" w:line="276" w:lineRule="auto"/>
        <w:contextualSpacing w:val="0"/>
        <w:jc w:val="both"/>
        <w:rPr>
          <w:rFonts w:cs="Arial"/>
          <w:szCs w:val="18"/>
          <w:lang w:val="en-US"/>
        </w:rPr>
      </w:pPr>
      <w:r w:rsidRPr="00174138">
        <w:rPr>
          <w:rFonts w:cs="Arial"/>
          <w:szCs w:val="18"/>
        </w:rPr>
        <w:t xml:space="preserve">Pentru mai multe detalii: </w:t>
      </w:r>
    </w:p>
    <w:p w14:paraId="4E4E3236" w14:textId="4DF7568B" w:rsidR="003A2826" w:rsidRPr="0087494E" w:rsidRDefault="00315DA4" w:rsidP="0027780C">
      <w:pPr>
        <w:numPr>
          <w:ilvl w:val="0"/>
          <w:numId w:val="13"/>
        </w:numPr>
        <w:suppressAutoHyphens w:val="0"/>
        <w:autoSpaceDN/>
        <w:spacing w:before="0" w:after="120" w:line="276" w:lineRule="auto"/>
        <w:contextualSpacing w:val="0"/>
        <w:jc w:val="both"/>
      </w:pPr>
      <w:r w:rsidRPr="00174138">
        <w:t>privind metodologia, strategiile și obiectivele privind schimbările climatice: a se vedea Nota tehnică a grupului privind schimbările climatice.</w:t>
      </w:r>
    </w:p>
    <w:p w14:paraId="2379BE55" w14:textId="35FDAA13" w:rsidR="008368BB" w:rsidRPr="0087494E" w:rsidRDefault="00315DA4" w:rsidP="0027780C">
      <w:pPr>
        <w:numPr>
          <w:ilvl w:val="0"/>
          <w:numId w:val="13"/>
        </w:numPr>
        <w:suppressAutoHyphens w:val="0"/>
        <w:autoSpaceDN/>
        <w:spacing w:before="0" w:after="120" w:line="276" w:lineRule="auto"/>
        <w:contextualSpacing w:val="0"/>
        <w:jc w:val="both"/>
      </w:pPr>
      <w:r w:rsidRPr="00174138">
        <w:t>privind sursele de date pentru calcularea PAI și domeniul de aplicare aferent, inclusiv orice limitări potențiale: a se vedea paragraful dedicat din prezentul document.</w:t>
      </w:r>
    </w:p>
    <w:p w14:paraId="5B9850E5" w14:textId="77777777" w:rsidR="008368BB" w:rsidRPr="0087494E" w:rsidRDefault="008368BB" w:rsidP="00BC477C">
      <w:pPr>
        <w:widowControl/>
        <w:suppressAutoHyphens w:val="0"/>
        <w:autoSpaceDN/>
        <w:spacing w:before="0" w:after="120" w:line="276" w:lineRule="auto"/>
        <w:contextualSpacing w:val="0"/>
        <w:jc w:val="both"/>
        <w:rPr>
          <w:rFonts w:cs="Arial"/>
          <w:noProof/>
          <w:szCs w:val="18"/>
        </w:rPr>
      </w:pPr>
    </w:p>
    <w:p w14:paraId="4C4CC163" w14:textId="43BFBE33" w:rsidR="00FA2F8E" w:rsidRPr="00667CC2" w:rsidRDefault="00FA2F8E" w:rsidP="00BC477C">
      <w:pPr>
        <w:widowControl/>
        <w:suppressAutoHyphens w:val="0"/>
        <w:autoSpaceDN/>
        <w:spacing w:before="0" w:after="120" w:line="276" w:lineRule="auto"/>
        <w:contextualSpacing w:val="0"/>
        <w:jc w:val="both"/>
        <w:rPr>
          <w:rFonts w:cs="Arial"/>
          <w:b/>
          <w:i/>
          <w:szCs w:val="18"/>
          <w:lang w:val="pt-BR"/>
        </w:rPr>
      </w:pPr>
      <w:r w:rsidRPr="00667CC2">
        <w:rPr>
          <w:rFonts w:cs="Arial"/>
          <w:b/>
          <w:i/>
          <w:szCs w:val="18"/>
        </w:rPr>
        <w:t>Pactul Global al Națiunilor Unite</w:t>
      </w:r>
    </w:p>
    <w:p w14:paraId="411E4286" w14:textId="60410D08" w:rsidR="0066529E" w:rsidRPr="00667CC2" w:rsidRDefault="00920D4C" w:rsidP="00BC477C">
      <w:pPr>
        <w:suppressAutoHyphens w:val="0"/>
        <w:autoSpaceDN/>
        <w:spacing w:before="0" w:after="120" w:line="276" w:lineRule="auto"/>
        <w:contextualSpacing w:val="0"/>
        <w:jc w:val="both"/>
        <w:rPr>
          <w:lang w:val="pt-BR"/>
        </w:rPr>
      </w:pPr>
      <w:r w:rsidRPr="00667CC2">
        <w:rPr>
          <w:u w:val="single"/>
        </w:rPr>
        <w:t>Referință PAI:</w:t>
      </w:r>
      <w:r w:rsidRPr="00667CC2">
        <w:t xml:space="preserve"> PAI 10, PAI 11, PAI 16</w:t>
      </w:r>
    </w:p>
    <w:p w14:paraId="4E70E255" w14:textId="1F5C2F98" w:rsidR="001125B2" w:rsidRPr="0087494E" w:rsidRDefault="001125B2" w:rsidP="00BC477C">
      <w:pPr>
        <w:suppressAutoHyphens w:val="0"/>
        <w:autoSpaceDN/>
        <w:spacing w:before="0" w:after="120" w:line="276" w:lineRule="auto"/>
        <w:contextualSpacing w:val="0"/>
        <w:jc w:val="both"/>
      </w:pPr>
      <w:r w:rsidRPr="00174138">
        <w:rPr>
          <w:u w:val="single"/>
        </w:rPr>
        <w:t>Sursa de date pentru calcularea PAI</w:t>
      </w:r>
      <w:r w:rsidR="00282FC6" w:rsidRPr="00174138">
        <w:t>: MSCI,</w:t>
      </w:r>
      <w:r w:rsidR="000D50F9">
        <w:t xml:space="preserve"> Morningstar,</w:t>
      </w:r>
      <w:r w:rsidR="00282FC6" w:rsidRPr="00174138">
        <w:t xml:space="preserve"> evaluare internă</w:t>
      </w:r>
    </w:p>
    <w:p w14:paraId="5DA821E8" w14:textId="1EF5F9FE" w:rsidR="00920D4C" w:rsidRPr="0087494E" w:rsidRDefault="00920D4C" w:rsidP="00BC477C">
      <w:pPr>
        <w:suppressAutoHyphens w:val="0"/>
        <w:autoSpaceDN/>
        <w:spacing w:before="0" w:after="120" w:line="276" w:lineRule="auto"/>
        <w:contextualSpacing w:val="0"/>
        <w:jc w:val="both"/>
      </w:pPr>
      <w:r w:rsidRPr="00174138">
        <w:rPr>
          <w:u w:val="single"/>
        </w:rPr>
        <w:t>Metodologia și datele utilizate</w:t>
      </w:r>
      <w:r w:rsidR="00315DA4" w:rsidRPr="00174138">
        <w:t xml:space="preserve">: </w:t>
      </w:r>
    </w:p>
    <w:p w14:paraId="31423545" w14:textId="6B2A9D19" w:rsidR="006F61FE" w:rsidRPr="0087494E" w:rsidRDefault="006F61FE" w:rsidP="00BC477C">
      <w:pPr>
        <w:widowControl/>
        <w:suppressAutoHyphens w:val="0"/>
        <w:autoSpaceDN/>
        <w:spacing w:before="0" w:after="120" w:line="276" w:lineRule="auto"/>
        <w:contextualSpacing w:val="0"/>
        <w:jc w:val="both"/>
        <w:rPr>
          <w:rFonts w:cs="Arial"/>
          <w:noProof/>
          <w:szCs w:val="18"/>
        </w:rPr>
      </w:pPr>
      <w:r w:rsidRPr="00174138">
        <w:rPr>
          <w:rFonts w:cs="Arial"/>
          <w:noProof/>
          <w:szCs w:val="18"/>
        </w:rPr>
        <w:t xml:space="preserve">Anumiți emitenți pot fi responsabili de încălcări grave comise împotriva mediului, a comunităților sau a propriilor angajați, distrugându-le astfel capitalul uman, legitimitatea de a funcționa și capacitatea de a crea valoare pe termen lung. În fața acestor riscuri, Generali a aplicat o abordare de screening negativ cu scopul de a exclude din universul investibil acei emitenți (atât corporativi, cât și suverani) implicați în controverse grave legate, printre altele: </w:t>
      </w:r>
    </w:p>
    <w:p w14:paraId="230DE7EE" w14:textId="73322942" w:rsidR="00A82F6B" w:rsidRPr="0087494E" w:rsidRDefault="00A82F6B" w:rsidP="0027780C">
      <w:pPr>
        <w:numPr>
          <w:ilvl w:val="0"/>
          <w:numId w:val="13"/>
        </w:numPr>
        <w:suppressAutoHyphens w:val="0"/>
        <w:autoSpaceDN/>
        <w:spacing w:before="0" w:after="120" w:line="276" w:lineRule="auto"/>
        <w:contextualSpacing w:val="0"/>
        <w:jc w:val="both"/>
      </w:pPr>
      <w:r w:rsidRPr="00174138">
        <w:t>pentru emitenții corporativi, la încălcări ale Pactului Global al ONU, ale Orientărilor OCDE pentru întreprinderile multinaționale, ale Declarației ONU privind drepturile omului, ale Declarației OIM privind principiile și drepturile fundamentale la locul de muncă.</w:t>
      </w:r>
    </w:p>
    <w:p w14:paraId="2B5C2F91" w14:textId="4B6BB435" w:rsidR="006F61FE" w:rsidRPr="0087494E" w:rsidRDefault="006F61FE" w:rsidP="0027780C">
      <w:pPr>
        <w:numPr>
          <w:ilvl w:val="0"/>
          <w:numId w:val="13"/>
        </w:numPr>
        <w:suppressAutoHyphens w:val="0"/>
        <w:autoSpaceDN/>
        <w:spacing w:before="0" w:after="120" w:line="276" w:lineRule="auto"/>
        <w:contextualSpacing w:val="0"/>
        <w:jc w:val="both"/>
      </w:pPr>
      <w:r w:rsidRPr="00174138">
        <w:t>pentru emitenții suverani, la criteriile care includ i) respectarea drepturilor politice și a libertăților civile, ii) nivelul de corupție din țară, iii) nivelul de cooperare în lupta globală împotriva spălării banilor și finanțării terorismului, iv) nivelul contribuției la defrișări</w:t>
      </w:r>
      <w:r w:rsidR="00907678">
        <w:t xml:space="preserve"> și schimbările climatice</w:t>
      </w:r>
      <w:r w:rsidRPr="00174138">
        <w:t>.</w:t>
      </w:r>
    </w:p>
    <w:p w14:paraId="035840FF" w14:textId="09FEAA46" w:rsidR="001E7F84" w:rsidRPr="0087494E" w:rsidRDefault="006F3310" w:rsidP="00BC477C">
      <w:pPr>
        <w:widowControl/>
        <w:suppressAutoHyphens w:val="0"/>
        <w:autoSpaceDN/>
        <w:spacing w:before="0" w:after="120" w:line="276" w:lineRule="auto"/>
        <w:contextualSpacing w:val="0"/>
        <w:jc w:val="both"/>
        <w:rPr>
          <w:rFonts w:cs="Arial"/>
          <w:szCs w:val="18"/>
        </w:rPr>
      </w:pPr>
      <w:r w:rsidRPr="00174138">
        <w:rPr>
          <w:rFonts w:cs="Arial"/>
          <w:szCs w:val="18"/>
        </w:rPr>
        <w:t>În ceea ce privește sursele de date, MSCI este în prezent principalul furnizor utilizat de Generali pentru a identifica emitenții implicați în astfel de controverse.  O suprapunere suplimentară a evaluării interne, bazată pe cercetarea internă ESG, se realizează pe baza semnificației emitentului pentru portofoliul de investiții.</w:t>
      </w:r>
    </w:p>
    <w:p w14:paraId="2537846D" w14:textId="77777777" w:rsidR="001E7F84" w:rsidRPr="00174138" w:rsidRDefault="001E7F84" w:rsidP="00BC477C">
      <w:pPr>
        <w:spacing w:before="0" w:after="120" w:line="276" w:lineRule="auto"/>
        <w:contextualSpacing w:val="0"/>
        <w:jc w:val="both"/>
        <w:rPr>
          <w:rFonts w:cs="Arial"/>
          <w:szCs w:val="18"/>
          <w:lang w:val="en-US"/>
        </w:rPr>
      </w:pPr>
      <w:r w:rsidRPr="00174138">
        <w:rPr>
          <w:rFonts w:cs="Arial"/>
          <w:szCs w:val="18"/>
        </w:rPr>
        <w:t xml:space="preserve">Pentru mai multe detalii: </w:t>
      </w:r>
    </w:p>
    <w:p w14:paraId="5DE017F9" w14:textId="3D47C5CC" w:rsidR="001E7F84" w:rsidRPr="0087494E" w:rsidRDefault="002C5866" w:rsidP="0027780C">
      <w:pPr>
        <w:numPr>
          <w:ilvl w:val="0"/>
          <w:numId w:val="13"/>
        </w:numPr>
        <w:suppressAutoHyphens w:val="0"/>
        <w:autoSpaceDN/>
        <w:spacing w:before="0" w:after="120" w:line="276" w:lineRule="auto"/>
        <w:contextualSpacing w:val="0"/>
        <w:jc w:val="both"/>
      </w:pPr>
      <w:r w:rsidRPr="00174138">
        <w:t>privind metodologia și strategiile: a se vedea Ghidul privind integrarea sustenabilității în investiții și în grupul de acționariat activ.</w:t>
      </w:r>
    </w:p>
    <w:p w14:paraId="79048525" w14:textId="388C3BC0" w:rsidR="001E7F84" w:rsidRPr="0087494E" w:rsidRDefault="002C5866" w:rsidP="0027780C">
      <w:pPr>
        <w:numPr>
          <w:ilvl w:val="0"/>
          <w:numId w:val="13"/>
        </w:numPr>
        <w:suppressAutoHyphens w:val="0"/>
        <w:autoSpaceDN/>
        <w:spacing w:before="0" w:after="120" w:line="276" w:lineRule="auto"/>
        <w:contextualSpacing w:val="0"/>
        <w:jc w:val="both"/>
      </w:pPr>
      <w:r w:rsidRPr="00174138">
        <w:t>privind sursele de date pentru calcularea PAI și domeniul de aplicare aferent, inclusiv orice limitări potențiale: a se vedea paragraful dedicat din prezentul document.</w:t>
      </w:r>
    </w:p>
    <w:p w14:paraId="2F046EEE" w14:textId="77777777" w:rsidR="00565EE2" w:rsidRPr="0087494E" w:rsidRDefault="00565EE2" w:rsidP="00BC477C">
      <w:pPr>
        <w:widowControl/>
        <w:suppressAutoHyphens w:val="0"/>
        <w:autoSpaceDN/>
        <w:spacing w:before="0" w:after="120" w:line="276" w:lineRule="auto"/>
        <w:contextualSpacing w:val="0"/>
        <w:jc w:val="both"/>
        <w:rPr>
          <w:rFonts w:cs="Arial"/>
          <w:noProof/>
          <w:szCs w:val="18"/>
        </w:rPr>
      </w:pPr>
    </w:p>
    <w:p w14:paraId="7C3C0974" w14:textId="5CA2643D" w:rsidR="0066529E" w:rsidRPr="0087494E" w:rsidRDefault="00DB24FB" w:rsidP="00BC477C">
      <w:pPr>
        <w:widowControl/>
        <w:suppressAutoHyphens w:val="0"/>
        <w:autoSpaceDN/>
        <w:spacing w:before="0" w:after="120" w:line="276" w:lineRule="auto"/>
        <w:contextualSpacing w:val="0"/>
        <w:jc w:val="both"/>
        <w:rPr>
          <w:rFonts w:cs="Arial"/>
          <w:b/>
          <w:i/>
          <w:szCs w:val="18"/>
        </w:rPr>
      </w:pPr>
      <w:r w:rsidRPr="00174138">
        <w:rPr>
          <w:rFonts w:cs="Arial"/>
          <w:b/>
          <w:bCs/>
          <w:i/>
          <w:iCs/>
          <w:noProof/>
          <w:szCs w:val="18"/>
        </w:rPr>
        <w:t xml:space="preserve">Tratate internaționale privind armele controversate </w:t>
      </w:r>
    </w:p>
    <w:p w14:paraId="058B7550" w14:textId="04A04ED2" w:rsidR="0066529E" w:rsidRPr="0087494E" w:rsidRDefault="00282FC6" w:rsidP="00BC477C">
      <w:pPr>
        <w:suppressAutoHyphens w:val="0"/>
        <w:autoSpaceDN/>
        <w:spacing w:before="0" w:after="120" w:line="276" w:lineRule="auto"/>
        <w:contextualSpacing w:val="0"/>
        <w:jc w:val="both"/>
      </w:pPr>
      <w:r w:rsidRPr="00174138">
        <w:rPr>
          <w:u w:val="single"/>
        </w:rPr>
        <w:t>Referință PAI:</w:t>
      </w:r>
      <w:r w:rsidRPr="00174138">
        <w:t xml:space="preserve"> PAI 14</w:t>
      </w:r>
    </w:p>
    <w:p w14:paraId="591F6848" w14:textId="08C404F8" w:rsidR="00282FC6" w:rsidRPr="0087494E" w:rsidRDefault="00315DA4" w:rsidP="00BC477C">
      <w:pPr>
        <w:suppressAutoHyphens w:val="0"/>
        <w:autoSpaceDN/>
        <w:spacing w:before="0" w:after="120" w:line="276" w:lineRule="auto"/>
        <w:contextualSpacing w:val="0"/>
        <w:jc w:val="both"/>
      </w:pPr>
      <w:r w:rsidRPr="00174138">
        <w:rPr>
          <w:u w:val="single"/>
        </w:rPr>
        <w:t>Sursa de date pentru calcularea PAI</w:t>
      </w:r>
      <w:r w:rsidR="00282FC6" w:rsidRPr="00174138">
        <w:t xml:space="preserve">: MSCI, </w:t>
      </w:r>
      <w:r w:rsidR="000D50F9">
        <w:t xml:space="preserve">Morningstar, </w:t>
      </w:r>
      <w:r w:rsidR="00282FC6" w:rsidRPr="00174138">
        <w:t>evaluare internă</w:t>
      </w:r>
    </w:p>
    <w:p w14:paraId="21F1ED0A" w14:textId="259E5666" w:rsidR="00282FC6" w:rsidRPr="0087494E" w:rsidRDefault="00282FC6" w:rsidP="00BC477C">
      <w:pPr>
        <w:suppressAutoHyphens w:val="0"/>
        <w:autoSpaceDN/>
        <w:spacing w:before="0" w:after="120" w:line="276" w:lineRule="auto"/>
        <w:contextualSpacing w:val="0"/>
        <w:jc w:val="both"/>
      </w:pPr>
      <w:r w:rsidRPr="00174138">
        <w:rPr>
          <w:u w:val="single"/>
        </w:rPr>
        <w:t>Metodologia și datele utilizate</w:t>
      </w:r>
      <w:r w:rsidR="00DB24FB" w:rsidRPr="00174138">
        <w:t>:</w:t>
      </w:r>
    </w:p>
    <w:p w14:paraId="35B2CFD1" w14:textId="23A340B3" w:rsidR="00DF4819" w:rsidRPr="0087494E" w:rsidRDefault="00DF4819" w:rsidP="00BC477C">
      <w:pPr>
        <w:pStyle w:val="Default"/>
        <w:spacing w:after="120" w:line="276" w:lineRule="auto"/>
        <w:jc w:val="both"/>
      </w:pPr>
      <w:bookmarkStart w:id="31" w:name="_Toc251333579"/>
      <w:bookmarkStart w:id="32" w:name="_Toc114500308"/>
      <w:r w:rsidRPr="00174138">
        <w:rPr>
          <w:rFonts w:ascii="Arial" w:hAnsi="Arial" w:cs="Arial"/>
          <w:sz w:val="18"/>
          <w:szCs w:val="18"/>
        </w:rPr>
        <w:t xml:space="preserve">Grupul exclude din investițiile sale emitenții care sunt direct implicați în armament și arme care încalcă principiile umanitare fundamentale prin utilizarea lor normală (bombe cu dispersie, mine terestre, arme biologice și chimice, arme cu uraniu sărăcit și arme nucleare care încalcă Tratatul de neproliferare). </w:t>
      </w:r>
    </w:p>
    <w:p w14:paraId="07C00579" w14:textId="2D0DC306" w:rsidR="007824AB" w:rsidRPr="0087494E" w:rsidRDefault="002D7BB6" w:rsidP="00BC477C">
      <w:pPr>
        <w:widowControl/>
        <w:suppressAutoHyphens w:val="0"/>
        <w:spacing w:before="0" w:after="120" w:line="276" w:lineRule="auto"/>
        <w:contextualSpacing w:val="0"/>
        <w:jc w:val="both"/>
      </w:pPr>
      <w:r w:rsidRPr="00174138">
        <w:t>Excluderea este în concordanță cu angajamentele Grupului și tratatele internaționale (cum ar fi Convenția de la Ottawa, Convenția de la Oslo și Tratatul de neproliferare), precum și cu reglementările locale relevante (Legea italiană nr. 220/2021).</w:t>
      </w:r>
    </w:p>
    <w:p w14:paraId="2C069800" w14:textId="77777777" w:rsidR="007824AB" w:rsidRPr="0087494E" w:rsidRDefault="007824AB" w:rsidP="00BC477C">
      <w:pPr>
        <w:spacing w:before="0" w:after="120" w:line="276" w:lineRule="auto"/>
        <w:contextualSpacing w:val="0"/>
        <w:jc w:val="both"/>
        <w:rPr>
          <w:szCs w:val="18"/>
        </w:rPr>
      </w:pPr>
      <w:r w:rsidRPr="00174138">
        <w:rPr>
          <w:szCs w:val="18"/>
        </w:rPr>
        <w:t>Screeningul se efectuează folosind MSCI ca furnizor principal de date. Dacă este necesar, datele MSCI pot fi completate de alte surse disponibile (de exemplu, site-uri web specializate sau lucrări de cercetare ale ONG-urilor).</w:t>
      </w:r>
    </w:p>
    <w:p w14:paraId="5DB53855" w14:textId="77777777" w:rsidR="006703FA" w:rsidRPr="00174138" w:rsidRDefault="006703FA" w:rsidP="00BC477C">
      <w:pPr>
        <w:spacing w:before="0" w:after="120" w:line="276" w:lineRule="auto"/>
        <w:contextualSpacing w:val="0"/>
        <w:jc w:val="both"/>
        <w:rPr>
          <w:rFonts w:cs="Arial"/>
          <w:szCs w:val="18"/>
          <w:lang w:val="en-US"/>
        </w:rPr>
      </w:pPr>
      <w:r w:rsidRPr="00174138">
        <w:rPr>
          <w:rFonts w:cs="Arial"/>
          <w:szCs w:val="18"/>
        </w:rPr>
        <w:lastRenderedPageBreak/>
        <w:t xml:space="preserve">Pentru mai multe detalii: </w:t>
      </w:r>
    </w:p>
    <w:p w14:paraId="0C3EFE9B" w14:textId="0E3D780C" w:rsidR="006703FA" w:rsidRPr="0087494E" w:rsidRDefault="006F5653" w:rsidP="0027780C">
      <w:pPr>
        <w:numPr>
          <w:ilvl w:val="0"/>
          <w:numId w:val="13"/>
        </w:numPr>
        <w:suppressAutoHyphens w:val="0"/>
        <w:autoSpaceDN/>
        <w:spacing w:before="0" w:after="120" w:line="276" w:lineRule="auto"/>
        <w:contextualSpacing w:val="0"/>
        <w:jc w:val="both"/>
      </w:pPr>
      <w:r w:rsidRPr="00174138">
        <w:t>privind metodologia și strategiile: a se vedea Ghidul privind integrarea sustenabilității în investiții și în grupul de acționariat activ.</w:t>
      </w:r>
    </w:p>
    <w:p w14:paraId="67BA3F19" w14:textId="3B1CB1A7" w:rsidR="006703FA" w:rsidRPr="0087494E" w:rsidRDefault="006F5653" w:rsidP="0027780C">
      <w:pPr>
        <w:numPr>
          <w:ilvl w:val="0"/>
          <w:numId w:val="13"/>
        </w:numPr>
        <w:suppressAutoHyphens w:val="0"/>
        <w:autoSpaceDN/>
        <w:spacing w:before="0" w:after="120" w:line="276" w:lineRule="auto"/>
        <w:contextualSpacing w:val="0"/>
        <w:jc w:val="both"/>
      </w:pPr>
      <w:r w:rsidRPr="00174138">
        <w:t>privind sursele de date pentru calcularea PAI și domeniul de aplicare aferent, inclusiv orice limitări potențiale: a se vedea paragraful dedicat din prezentul document.</w:t>
      </w:r>
    </w:p>
    <w:p w14:paraId="5BD9D401" w14:textId="0E4BA70B" w:rsidR="00612FB2" w:rsidRPr="0087494E" w:rsidRDefault="00612FB2">
      <w:pPr>
        <w:widowControl/>
        <w:suppressAutoHyphens w:val="0"/>
        <w:spacing w:before="0" w:after="0" w:line="240" w:lineRule="auto"/>
        <w:contextualSpacing w:val="0"/>
        <w:rPr>
          <w:b/>
          <w:caps/>
          <w:color w:val="BD2027"/>
          <w:sz w:val="22"/>
          <w:szCs w:val="22"/>
        </w:rPr>
      </w:pPr>
    </w:p>
    <w:p w14:paraId="578BE823" w14:textId="706E8B10" w:rsidR="00F44908" w:rsidRPr="00174138" w:rsidRDefault="00AF3009" w:rsidP="001F2A25">
      <w:pPr>
        <w:pStyle w:val="Heading2"/>
        <w:spacing w:before="240" w:after="120" w:line="240" w:lineRule="auto"/>
        <w:ind w:left="578" w:hanging="578"/>
        <w:contextualSpacing w:val="0"/>
        <w:rPr>
          <w:lang w:val="en-US"/>
        </w:rPr>
      </w:pPr>
      <w:bookmarkStart w:id="33" w:name="_Toc136509353"/>
      <w:bookmarkStart w:id="34" w:name="_Toc138088062"/>
      <w:r w:rsidRPr="00174138">
        <w:t>Comparație istorică</w:t>
      </w:r>
      <w:bookmarkEnd w:id="31"/>
      <w:bookmarkEnd w:id="32"/>
      <w:bookmarkEnd w:id="33"/>
      <w:bookmarkEnd w:id="34"/>
    </w:p>
    <w:p w14:paraId="0E8D0FEB" w14:textId="4DDBCEFE" w:rsidR="00AF3009" w:rsidRPr="00174138" w:rsidRDefault="00AF3009" w:rsidP="00BC477C">
      <w:pPr>
        <w:spacing w:before="0" w:after="120" w:line="276" w:lineRule="auto"/>
        <w:contextualSpacing w:val="0"/>
        <w:jc w:val="both"/>
        <w:rPr>
          <w:rFonts w:cs="Arial"/>
          <w:bCs/>
          <w:noProof/>
          <w:color w:val="auto"/>
          <w:lang w:val="en-GB"/>
        </w:rPr>
      </w:pPr>
      <w:r w:rsidRPr="00174138">
        <w:rPr>
          <w:rFonts w:cs="Arial"/>
          <w:color w:val="0070C0"/>
          <w:sz w:val="19"/>
          <w:szCs w:val="19"/>
        </w:rPr>
        <w:br/>
      </w:r>
    </w:p>
    <w:p w14:paraId="79512C70" w14:textId="603EC490" w:rsidR="009E521D" w:rsidRPr="0087494E" w:rsidRDefault="007F7D4E" w:rsidP="009E790B">
      <w:pPr>
        <w:rPr>
          <w:szCs w:val="18"/>
        </w:rPr>
      </w:pPr>
      <w:r w:rsidRPr="00174138">
        <w:t xml:space="preserve">Comparația de la an la an pentru </w:t>
      </w:r>
      <w:r w:rsidRPr="00174138">
        <w:rPr>
          <w:szCs w:val="18"/>
        </w:rPr>
        <w:t>PAI raportate în 202</w:t>
      </w:r>
      <w:r w:rsidR="00FD6350">
        <w:rPr>
          <w:szCs w:val="18"/>
        </w:rPr>
        <w:t>3</w:t>
      </w:r>
      <w:r w:rsidRPr="00174138">
        <w:rPr>
          <w:szCs w:val="18"/>
        </w:rPr>
        <w:t xml:space="preserve"> și </w:t>
      </w:r>
      <w:r w:rsidR="004A67F8" w:rsidRPr="00174138">
        <w:rPr>
          <w:szCs w:val="18"/>
        </w:rPr>
        <w:t xml:space="preserve">2024 </w:t>
      </w:r>
      <w:r w:rsidR="00ED78AC" w:rsidRPr="00174138">
        <w:rPr>
          <w:szCs w:val="18"/>
        </w:rPr>
        <w:t xml:space="preserve">este prezentată prin tabelele din secțiunea 2.2. Pentru a facilita o comparație istorică, evidențiem principalele modificări ale raportării PAI între </w:t>
      </w:r>
      <w:r w:rsidR="004A67F8">
        <w:rPr>
          <w:szCs w:val="18"/>
        </w:rPr>
        <w:t xml:space="preserve">202 </w:t>
      </w:r>
      <w:r w:rsidR="00AD290A" w:rsidRPr="00174138">
        <w:rPr>
          <w:szCs w:val="18"/>
        </w:rPr>
        <w:t xml:space="preserve">și </w:t>
      </w:r>
      <w:r w:rsidR="004A67F8">
        <w:rPr>
          <w:szCs w:val="18"/>
        </w:rPr>
        <w:t>2024</w:t>
      </w:r>
      <w:r w:rsidR="009E790B">
        <w:rPr>
          <w:szCs w:val="18"/>
        </w:rPr>
        <w:t xml:space="preserve">. </w:t>
      </w:r>
    </w:p>
    <w:p w14:paraId="35F4FB7F" w14:textId="77777777" w:rsidR="009E790B" w:rsidRPr="0087494E" w:rsidRDefault="009E790B" w:rsidP="009E790B">
      <w:pPr>
        <w:rPr>
          <w:szCs w:val="18"/>
        </w:rPr>
      </w:pPr>
    </w:p>
    <w:p w14:paraId="61548E4D" w14:textId="67334BEF" w:rsidR="009E790B" w:rsidRPr="0087494E" w:rsidRDefault="00895436" w:rsidP="009E790B">
      <w:pPr>
        <w:rPr>
          <w:b/>
          <w:bCs/>
          <w:szCs w:val="18"/>
        </w:rPr>
      </w:pPr>
      <w:r w:rsidRPr="002141F1">
        <w:rPr>
          <w:b/>
          <w:bCs/>
          <w:szCs w:val="18"/>
        </w:rPr>
        <w:t>Aplicare</w:t>
      </w:r>
    </w:p>
    <w:p w14:paraId="2A9BACE1" w14:textId="77777777" w:rsidR="009E790B" w:rsidRPr="0087494E" w:rsidRDefault="009E790B" w:rsidP="009E790B">
      <w:pPr>
        <w:rPr>
          <w:szCs w:val="18"/>
        </w:rPr>
      </w:pPr>
    </w:p>
    <w:p w14:paraId="59686202" w14:textId="4EBA2946" w:rsidR="00AD290A" w:rsidRPr="0087494E" w:rsidRDefault="009E790B" w:rsidP="009E790B">
      <w:pPr>
        <w:rPr>
          <w:szCs w:val="18"/>
        </w:rPr>
      </w:pPr>
      <w:r>
        <w:rPr>
          <w:szCs w:val="18"/>
        </w:rPr>
        <w:t>În 202</w:t>
      </w:r>
      <w:r w:rsidR="00F1087A">
        <w:rPr>
          <w:szCs w:val="18"/>
        </w:rPr>
        <w:t xml:space="preserve">4, </w:t>
      </w:r>
      <w:r w:rsidR="002D3E8B" w:rsidRPr="002141F1">
        <w:rPr>
          <w:szCs w:val="18"/>
        </w:rPr>
        <w:t xml:space="preserve"> </w:t>
      </w:r>
      <w:r w:rsidR="00AC6369">
        <w:rPr>
          <w:szCs w:val="18"/>
        </w:rPr>
        <w:t xml:space="preserve">Curtea a consolidat </w:t>
      </w:r>
      <w:r w:rsidR="004715A9">
        <w:rPr>
          <w:szCs w:val="18"/>
        </w:rPr>
        <w:t xml:space="preserve">abordarea de raportare a PAI a </w:t>
      </w:r>
      <w:r w:rsidR="00895436" w:rsidRPr="002141F1">
        <w:rPr>
          <w:szCs w:val="18"/>
        </w:rPr>
        <w:t>investițiilor indirecte</w:t>
      </w:r>
      <w:r w:rsidR="004715A9">
        <w:rPr>
          <w:szCs w:val="18"/>
        </w:rPr>
        <w:t xml:space="preserve">, prin (i) </w:t>
      </w:r>
      <w:r w:rsidR="00B931FF">
        <w:rPr>
          <w:szCs w:val="18"/>
        </w:rPr>
        <w:t xml:space="preserve">adăugarea </w:t>
      </w:r>
      <w:r w:rsidR="004715A9">
        <w:rPr>
          <w:szCs w:val="18"/>
        </w:rPr>
        <w:t xml:space="preserve">  portofoliilor de asigurări legate de investiții și </w:t>
      </w:r>
      <w:r w:rsidR="004B5112">
        <w:rPr>
          <w:szCs w:val="18"/>
        </w:rPr>
        <w:t xml:space="preserve"> </w:t>
      </w:r>
      <w:r w:rsidR="004715A9">
        <w:rPr>
          <w:szCs w:val="18"/>
        </w:rPr>
        <w:t>(ii)</w:t>
      </w:r>
      <w:r w:rsidR="004B5112">
        <w:rPr>
          <w:szCs w:val="18"/>
        </w:rPr>
        <w:t xml:space="preserve"> prin creșterea acoperirii </w:t>
      </w:r>
      <w:r w:rsidR="004715A9">
        <w:rPr>
          <w:szCs w:val="18"/>
        </w:rPr>
        <w:t xml:space="preserve">portofoliilor </w:t>
      </w:r>
      <w:r w:rsidR="00B931FF">
        <w:rPr>
          <w:szCs w:val="18"/>
        </w:rPr>
        <w:t xml:space="preserve"> de asigurări </w:t>
      </w:r>
      <w:r w:rsidR="00F252E2">
        <w:rPr>
          <w:szCs w:val="18"/>
        </w:rPr>
        <w:t xml:space="preserve">legate </w:t>
      </w:r>
      <w:r w:rsidR="00611A25">
        <w:rPr>
          <w:szCs w:val="18"/>
        </w:rPr>
        <w:t xml:space="preserve"> de  </w:t>
      </w:r>
      <w:r w:rsidR="00A71D85">
        <w:rPr>
          <w:szCs w:val="18"/>
        </w:rPr>
        <w:t>investițiifonduri din portofoliul contului general prin utilizarea atât a datelor interne, cât și a furnizorilor externi (Morningstar) pentru datele EET și poziția linie cu linie a</w:t>
      </w:r>
      <w:r w:rsidR="00475005">
        <w:rPr>
          <w:szCs w:val="18"/>
        </w:rPr>
        <w:t>fondurilor.</w:t>
      </w:r>
      <w:r w:rsidR="00F252E2">
        <w:rPr>
          <w:szCs w:val="18"/>
        </w:rPr>
        <w:t xml:space="preserve"> </w:t>
      </w:r>
      <w:r w:rsidR="008E145E" w:rsidRPr="002141F1">
        <w:rPr>
          <w:szCs w:val="18"/>
        </w:rPr>
        <w:t xml:space="preserve">. Pentru comparație, domeniul de aplicare din </w:t>
      </w:r>
      <w:r w:rsidR="004715A9">
        <w:rPr>
          <w:szCs w:val="18"/>
        </w:rPr>
        <w:t xml:space="preserve">2023 </w:t>
      </w:r>
      <w:r w:rsidR="000C7FD2" w:rsidRPr="002141F1">
        <w:rPr>
          <w:szCs w:val="18"/>
        </w:rPr>
        <w:t xml:space="preserve">a inclus doar investițiile directe </w:t>
      </w:r>
      <w:r w:rsidR="00FD255A">
        <w:rPr>
          <w:szCs w:val="18"/>
        </w:rPr>
        <w:t xml:space="preserve">și acele fonduri care au fost acoperite de furnizorul extern (MSCI). </w:t>
      </w:r>
      <w:r w:rsidR="008E145E" w:rsidRPr="002141F1">
        <w:rPr>
          <w:szCs w:val="18"/>
        </w:rPr>
        <w:t xml:space="preserve"> Din acest motiv, o parte din variația de la an la an a PAI </w:t>
      </w:r>
      <w:r w:rsidR="00FD255A">
        <w:rPr>
          <w:szCs w:val="18"/>
        </w:rPr>
        <w:t xml:space="preserve">poate </w:t>
      </w:r>
      <w:r w:rsidR="008F538D" w:rsidRPr="006566DA">
        <w:rPr>
          <w:szCs w:val="18"/>
        </w:rPr>
        <w:t>fi atribuită creșterii domeniului de aplicare acoperit de soluția de raportare implementată. Pe măsură ce cadrul de raportare progresează și se consolidează, ne vom strădui să izolăm și mai mult contribuția fondurilor la performanța anuală a PAI.</w:t>
      </w:r>
    </w:p>
    <w:p w14:paraId="5FD792DC" w14:textId="77777777" w:rsidR="009E790B" w:rsidRPr="0087494E" w:rsidRDefault="009E790B" w:rsidP="002141F1">
      <w:pPr>
        <w:rPr>
          <w:szCs w:val="18"/>
        </w:rPr>
      </w:pPr>
    </w:p>
    <w:p w14:paraId="77A5930A" w14:textId="77777777" w:rsidR="009E790B" w:rsidRPr="0087494E" w:rsidRDefault="00730C33" w:rsidP="009E790B">
      <w:pPr>
        <w:rPr>
          <w:b/>
          <w:bCs/>
          <w:szCs w:val="18"/>
        </w:rPr>
      </w:pPr>
      <w:r w:rsidRPr="002141F1">
        <w:rPr>
          <w:b/>
          <w:bCs/>
          <w:szCs w:val="18"/>
        </w:rPr>
        <w:t>Modificări metodologice</w:t>
      </w:r>
    </w:p>
    <w:p w14:paraId="52A746AE" w14:textId="0732AB78" w:rsidR="009E790B" w:rsidRPr="0087494E" w:rsidRDefault="009E790B" w:rsidP="009E790B">
      <w:pPr>
        <w:rPr>
          <w:szCs w:val="18"/>
        </w:rPr>
      </w:pPr>
    </w:p>
    <w:p w14:paraId="3502DDCC" w14:textId="6E73D606" w:rsidR="009E790B" w:rsidRPr="002141F1" w:rsidRDefault="009E790B" w:rsidP="002141F1">
      <w:pPr>
        <w:rPr>
          <w:szCs w:val="18"/>
          <w:lang w:val="en-US"/>
        </w:rPr>
      </w:pPr>
      <w:r>
        <w:rPr>
          <w:szCs w:val="18"/>
        </w:rPr>
        <w:t xml:space="preserve">Pe parcursul </w:t>
      </w:r>
      <w:r w:rsidR="0086375A">
        <w:rPr>
          <w:szCs w:val="18"/>
        </w:rPr>
        <w:t>anului 2024</w:t>
      </w:r>
      <w:r w:rsidR="00015941" w:rsidRPr="002141F1">
        <w:rPr>
          <w:szCs w:val="18"/>
        </w:rPr>
        <w:t>, metodologia pentru unele dintre PAI a fost actualizată. În special:</w:t>
      </w:r>
    </w:p>
    <w:p w14:paraId="2B7F2254" w14:textId="6CE6971E" w:rsidR="006808D1" w:rsidRPr="0087494E" w:rsidRDefault="006808D1" w:rsidP="00AA6795">
      <w:pPr>
        <w:pStyle w:val="ListParagraph"/>
        <w:rPr>
          <w:sz w:val="18"/>
          <w:szCs w:val="22"/>
          <w:lang w:val="it-IT"/>
        </w:rPr>
      </w:pPr>
      <w:r w:rsidRPr="0087494E">
        <w:rPr>
          <w:sz w:val="18"/>
          <w:szCs w:val="22"/>
          <w:lang w:val="it-IT"/>
        </w:rPr>
        <w:t>PAI 1</w:t>
      </w:r>
      <w:r w:rsidR="00D85637" w:rsidRPr="0087494E">
        <w:rPr>
          <w:sz w:val="18"/>
          <w:szCs w:val="22"/>
          <w:lang w:val="it-IT"/>
        </w:rPr>
        <w:t xml:space="preserve"> (emisii de GES): </w:t>
      </w:r>
      <w:r w:rsidRPr="0087494E">
        <w:rPr>
          <w:sz w:val="18"/>
          <w:szCs w:val="22"/>
          <w:lang w:val="it-IT"/>
        </w:rPr>
        <w:t>în comunicarea de informații din 2023,</w:t>
      </w:r>
      <w:r w:rsidR="00633184" w:rsidRPr="0087494E">
        <w:rPr>
          <w:sz w:val="18"/>
          <w:szCs w:val="22"/>
          <w:lang w:val="it-IT"/>
        </w:rPr>
        <w:t xml:space="preserve"> </w:t>
      </w:r>
      <w:r w:rsidRPr="0087494E">
        <w:rPr>
          <w:sz w:val="18"/>
          <w:szCs w:val="22"/>
          <w:lang w:val="it-IT"/>
        </w:rPr>
        <w:t xml:space="preserve"> </w:t>
      </w:r>
      <w:r w:rsidR="00005CD2" w:rsidRPr="0087494E">
        <w:rPr>
          <w:sz w:val="18"/>
          <w:szCs w:val="22"/>
          <w:lang w:val="it-IT"/>
        </w:rPr>
        <w:t xml:space="preserve">metodologia adoptată de </w:t>
      </w:r>
      <w:r w:rsidRPr="0087494E">
        <w:rPr>
          <w:sz w:val="18"/>
          <w:szCs w:val="22"/>
          <w:lang w:val="it-IT"/>
        </w:rPr>
        <w:t xml:space="preserve">furnizor </w:t>
      </w:r>
      <w:r w:rsidR="00005CD2" w:rsidRPr="0087494E">
        <w:rPr>
          <w:sz w:val="18"/>
          <w:szCs w:val="22"/>
          <w:lang w:val="it-IT"/>
        </w:rPr>
        <w:t>a presupus că</w:t>
      </w:r>
      <w:r w:rsidRPr="0087494E">
        <w:rPr>
          <w:sz w:val="18"/>
          <w:szCs w:val="22"/>
          <w:lang w:val="it-IT"/>
        </w:rPr>
        <w:t xml:space="preserve"> partea neacoperită a portofoliului </w:t>
      </w:r>
      <w:r w:rsidR="009975AF" w:rsidRPr="0087494E">
        <w:rPr>
          <w:sz w:val="18"/>
          <w:szCs w:val="22"/>
          <w:lang w:val="it-IT"/>
        </w:rPr>
        <w:t>are un</w:t>
      </w:r>
      <w:r w:rsidRPr="0087494E">
        <w:rPr>
          <w:sz w:val="18"/>
          <w:szCs w:val="22"/>
          <w:lang w:val="it-IT"/>
        </w:rPr>
        <w:t xml:space="preserve"> nivel de emisii de carbon </w:t>
      </w:r>
      <w:r w:rsidR="009975AF" w:rsidRPr="0087494E">
        <w:rPr>
          <w:sz w:val="18"/>
          <w:szCs w:val="22"/>
          <w:lang w:val="it-IT"/>
        </w:rPr>
        <w:t>egal</w:t>
      </w:r>
      <w:r w:rsidRPr="0087494E">
        <w:rPr>
          <w:sz w:val="18"/>
          <w:szCs w:val="22"/>
          <w:lang w:val="it-IT"/>
        </w:rPr>
        <w:t xml:space="preserve"> cu partea acoperită, ceea ce duce la estimarea unei părți relevante a datelor PAI. Pentru această prezentare, calculul se bazează</w:t>
      </w:r>
      <w:r w:rsidR="00532426" w:rsidRPr="0087494E">
        <w:rPr>
          <w:sz w:val="18"/>
          <w:szCs w:val="22"/>
          <w:lang w:val="it-IT"/>
        </w:rPr>
        <w:t xml:space="preserve"> doar</w:t>
      </w:r>
      <w:r w:rsidRPr="0087494E">
        <w:rPr>
          <w:sz w:val="18"/>
          <w:szCs w:val="22"/>
          <w:lang w:val="it-IT"/>
        </w:rPr>
        <w:t xml:space="preserve"> pe datele privind emisiile de carbon disponibile pentru emitenții individuali</w:t>
      </w:r>
      <w:r w:rsidR="00E36E7D" w:rsidRPr="0087494E">
        <w:rPr>
          <w:sz w:val="18"/>
          <w:szCs w:val="22"/>
          <w:lang w:val="it-IT"/>
        </w:rPr>
        <w:t xml:space="preserve"> din portofoliul nostru</w:t>
      </w:r>
    </w:p>
    <w:p w14:paraId="43847EA1" w14:textId="68CFD979" w:rsidR="00D85637" w:rsidRPr="0087494E" w:rsidRDefault="00D85637" w:rsidP="00AA6795">
      <w:pPr>
        <w:pStyle w:val="ListParagraph"/>
        <w:rPr>
          <w:lang w:val="it-IT"/>
        </w:rPr>
      </w:pPr>
      <w:r w:rsidRPr="0087494E">
        <w:rPr>
          <w:sz w:val="18"/>
          <w:szCs w:val="22"/>
          <w:lang w:val="it-IT"/>
        </w:rPr>
        <w:t>PAI 5 (Ponderea consumului și producției de energie neregenerabilă):</w:t>
      </w:r>
      <w:r w:rsidR="009975AF" w:rsidRPr="0087494E">
        <w:rPr>
          <w:sz w:val="18"/>
          <w:szCs w:val="22"/>
          <w:lang w:val="it-IT"/>
        </w:rPr>
        <w:t xml:space="preserve"> </w:t>
      </w:r>
      <w:r w:rsidR="00E36E7D" w:rsidRPr="0087494E">
        <w:rPr>
          <w:sz w:val="18"/>
          <w:szCs w:val="22"/>
          <w:lang w:val="it-IT"/>
        </w:rPr>
        <w:t xml:space="preserve"> </w:t>
      </w:r>
      <w:r w:rsidR="009975AF" w:rsidRPr="0087494E">
        <w:rPr>
          <w:sz w:val="18"/>
          <w:szCs w:val="22"/>
          <w:lang w:val="it-IT"/>
        </w:rPr>
        <w:t>publicarea este acum</w:t>
      </w:r>
      <w:r w:rsidRPr="0087494E">
        <w:rPr>
          <w:sz w:val="18"/>
          <w:szCs w:val="22"/>
          <w:lang w:val="it-IT"/>
        </w:rPr>
        <w:t xml:space="preserve"> furnizată sub forma a doi indicatori separați: "Consum de energie - Neregenerabil" și "Producție de energie - Neregenerabilă"</w:t>
      </w:r>
      <w:r w:rsidR="00B1263C" w:rsidRPr="0087494E">
        <w:rPr>
          <w:sz w:val="18"/>
          <w:szCs w:val="22"/>
          <w:lang w:val="it-IT"/>
        </w:rPr>
        <w:t xml:space="preserve"> pentru a oferi mai multă claritate.</w:t>
      </w:r>
    </w:p>
    <w:p w14:paraId="6D67A833" w14:textId="21A7D4CC" w:rsidR="009E790B" w:rsidRPr="0087494E" w:rsidRDefault="009E790B" w:rsidP="00B7655C"/>
    <w:p w14:paraId="519C9B31" w14:textId="658CF761" w:rsidR="00855CE0" w:rsidRPr="0087494E" w:rsidRDefault="00855CE0" w:rsidP="00B22082">
      <w:pPr>
        <w:rPr>
          <w:noProof/>
          <w:szCs w:val="18"/>
        </w:rPr>
      </w:pPr>
    </w:p>
    <w:p w14:paraId="60CDCA0B" w14:textId="77777777" w:rsidR="009E521D" w:rsidRPr="0087494E" w:rsidRDefault="009E521D" w:rsidP="00BC477C">
      <w:pPr>
        <w:spacing w:before="0" w:after="120" w:line="276" w:lineRule="auto"/>
        <w:contextualSpacing w:val="0"/>
        <w:jc w:val="both"/>
        <w:rPr>
          <w:rFonts w:cs="Arial"/>
          <w:bCs/>
          <w:noProof/>
          <w:color w:val="auto"/>
          <w:szCs w:val="18"/>
        </w:rPr>
      </w:pPr>
    </w:p>
    <w:p w14:paraId="3C9EB94D" w14:textId="5D108E99" w:rsidR="009E521D" w:rsidRPr="0087494E" w:rsidRDefault="009E521D" w:rsidP="00BC477C">
      <w:pPr>
        <w:spacing w:before="0" w:after="120" w:line="276" w:lineRule="auto"/>
        <w:contextualSpacing w:val="0"/>
        <w:jc w:val="both"/>
        <w:rPr>
          <w:color w:val="auto"/>
        </w:rPr>
      </w:pPr>
    </w:p>
    <w:sectPr w:rsidR="009E521D" w:rsidRPr="0087494E" w:rsidSect="001A6FDD">
      <w:headerReference w:type="even" r:id="rId26"/>
      <w:headerReference w:type="default" r:id="rId27"/>
      <w:headerReference w:type="first" r:id="rId28"/>
      <w:footerReference w:type="first" r:id="rId29"/>
      <w:pgSz w:w="11900" w:h="16840"/>
      <w:pgMar w:top="2268" w:right="851" w:bottom="1134" w:left="851" w:header="567" w:footer="567"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Cardinali Jacopo" w:date="2025-06-01T21:01:00Z" w:initials="JC">
    <w:p w14:paraId="1BA3987B" w14:textId="398F959F" w:rsidR="00667CC2" w:rsidRDefault="00786EB3" w:rsidP="00667CC2">
      <w:pPr>
        <w:pStyle w:val="CommentText"/>
      </w:pPr>
      <w:r>
        <w:rPr>
          <w:rStyle w:val="CommentReference"/>
        </w:rPr>
        <w:annotationRef/>
      </w:r>
      <w:r w:rsidR="00667CC2">
        <w:t>Eliminat din cauza redundanței. Domeniul de aplicare este explicat în detaliu în rezumatul (2.1.)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A39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49D66A" w16cex:dateUtc="2025-06-01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A3987B" w16cid:durableId="3949D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6FA8" w14:textId="77777777" w:rsidR="00E54BAE" w:rsidRDefault="00E54BAE">
      <w:pPr>
        <w:spacing w:before="0" w:after="0" w:line="240" w:lineRule="auto"/>
      </w:pPr>
      <w:r>
        <w:separator/>
      </w:r>
    </w:p>
    <w:p w14:paraId="32345CCB" w14:textId="77777777" w:rsidR="00E54BAE" w:rsidRDefault="00E54BAE"/>
  </w:endnote>
  <w:endnote w:type="continuationSeparator" w:id="0">
    <w:p w14:paraId="1C63E1B4" w14:textId="77777777" w:rsidR="00E54BAE" w:rsidRDefault="00E54BAE">
      <w:pPr>
        <w:spacing w:before="0" w:after="0" w:line="240" w:lineRule="auto"/>
      </w:pPr>
      <w:r>
        <w:continuationSeparator/>
      </w:r>
    </w:p>
    <w:p w14:paraId="3ED66CDD" w14:textId="77777777" w:rsidR="00E54BAE" w:rsidRDefault="00E54BAE"/>
  </w:endnote>
  <w:endnote w:type="continuationNotice" w:id="1">
    <w:p w14:paraId="05F91DCF" w14:textId="77777777" w:rsidR="00E54BAE" w:rsidRDefault="00E54BAE">
      <w:pPr>
        <w:spacing w:before="0" w:after="0" w:line="240" w:lineRule="auto"/>
      </w:pPr>
    </w:p>
    <w:p w14:paraId="40F9450C" w14:textId="77777777" w:rsidR="00E54BAE" w:rsidRDefault="00E54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Times New Roman"/>
    <w:panose1 w:val="00000000000000000000"/>
    <w:charset w:val="00"/>
    <w:family w:val="roman"/>
    <w:notTrueType/>
    <w:pitch w:val="default"/>
  </w:font>
  <w:font w:name="Arial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0" w:usb1="5000A1FF" w:usb2="00000000" w:usb3="00000000" w:csb0="000001BF" w:csb1="00000000"/>
  </w:font>
  <w:font w:name="EUAlbertina">
    <w:altName w:val="Calibri"/>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74D0" w14:textId="77777777" w:rsidR="00357E37" w:rsidRDefault="00357E37" w:rsidP="003A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1FE3" w14:textId="77777777" w:rsidR="00357E37" w:rsidRDefault="00357E37" w:rsidP="003A4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5FFA" w14:textId="77777777" w:rsidR="00357E37" w:rsidRDefault="00357E37" w:rsidP="003A4F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055231"/>
      <w:docPartObj>
        <w:docPartGallery w:val="Page Numbers (Bottom of Page)"/>
        <w:docPartUnique/>
      </w:docPartObj>
    </w:sdtPr>
    <w:sdtEndPr/>
    <w:sdtContent>
      <w:p w14:paraId="4A92062A" w14:textId="3EBCD156" w:rsidR="00AB2433" w:rsidRDefault="00AB2433">
        <w:pPr>
          <w:pStyle w:val="Footer"/>
        </w:pPr>
        <w:r>
          <w:fldChar w:fldCharType="begin"/>
        </w:r>
        <w:r>
          <w:instrText>PAGE   \* MERGEFORMAT</w:instrText>
        </w:r>
        <w:r>
          <w:fldChar w:fldCharType="separate"/>
        </w:r>
        <w:r>
          <w:t>2</w:t>
        </w:r>
        <w:r>
          <w:fldChar w:fldCharType="end"/>
        </w:r>
      </w:p>
    </w:sdtContent>
  </w:sdt>
  <w:p w14:paraId="15BA712C" w14:textId="77777777" w:rsidR="001A6FDD" w:rsidRPr="004E604A" w:rsidRDefault="001A6FDD" w:rsidP="003A4F3E">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377781"/>
      <w:docPartObj>
        <w:docPartGallery w:val="Page Numbers (Bottom of Page)"/>
        <w:docPartUnique/>
      </w:docPartObj>
    </w:sdtPr>
    <w:sdtEndPr/>
    <w:sdtContent>
      <w:tbl>
        <w:tblPr>
          <w:tblW w:w="10200" w:type="dxa"/>
          <w:tblCellMar>
            <w:left w:w="10" w:type="dxa"/>
            <w:right w:w="10" w:type="dxa"/>
          </w:tblCellMar>
          <w:tblLook w:val="0000" w:firstRow="0" w:lastRow="0" w:firstColumn="0" w:lastColumn="0" w:noHBand="0" w:noVBand="0"/>
        </w:tblPr>
        <w:tblGrid>
          <w:gridCol w:w="4860"/>
          <w:gridCol w:w="5340"/>
        </w:tblGrid>
        <w:tr w:rsidR="001A6454" w14:paraId="7A9A840E" w14:textId="77777777">
          <w:trPr>
            <w:trHeight w:val="283"/>
          </w:trPr>
          <w:tc>
            <w:tcPr>
              <w:tcW w:w="4860" w:type="dxa"/>
              <w:tcMar>
                <w:top w:w="0" w:type="dxa"/>
                <w:left w:w="0" w:type="dxa"/>
                <w:bottom w:w="0" w:type="dxa"/>
                <w:right w:w="0" w:type="dxa"/>
              </w:tcMar>
              <w:vAlign w:val="bottom"/>
            </w:tcPr>
            <w:p w14:paraId="620BF7F6" w14:textId="7460DF56" w:rsidR="001A6454" w:rsidRDefault="001A6454" w:rsidP="003A4F3E">
              <w:pPr>
                <w:pStyle w:val="Footer"/>
              </w:pPr>
              <w:r>
                <w:fldChar w:fldCharType="begin"/>
              </w:r>
              <w:r>
                <w:instrText xml:space="preserve"> TITLE </w:instrText>
              </w:r>
              <w:r>
                <w:fldChar w:fldCharType="separate"/>
              </w:r>
              <w:r w:rsidR="006A0E03">
                <w:t xml:space="preserve">Politica </w:t>
              </w:r>
              <w:r w:rsidR="006A0E03">
                <w:t>de conformitate a grupului</w:t>
              </w:r>
              <w:r>
                <w:fldChar w:fldCharType="end"/>
              </w:r>
              <w:r>
                <w:t xml:space="preserve"> Titlu</w:t>
              </w:r>
            </w:p>
          </w:tc>
          <w:tc>
            <w:tcPr>
              <w:tcW w:w="5340" w:type="dxa"/>
              <w:tcMar>
                <w:top w:w="0" w:type="dxa"/>
                <w:left w:w="0" w:type="dxa"/>
                <w:bottom w:w="0" w:type="dxa"/>
                <w:right w:w="0" w:type="dxa"/>
              </w:tcMar>
              <w:vAlign w:val="bottom"/>
            </w:tcPr>
            <w:p w14:paraId="003489E3" w14:textId="4F181C7B" w:rsidR="001A6454" w:rsidRDefault="001A6454" w:rsidP="003A4F3E">
              <w:pPr>
                <w:pStyle w:val="Footer"/>
              </w:pPr>
              <w:r>
                <w:fldChar w:fldCharType="begin"/>
              </w:r>
              <w:r>
                <w:instrText xml:space="preserve"> PAGE </w:instrText>
              </w:r>
              <w:r>
                <w:fldChar w:fldCharType="separate"/>
              </w:r>
              <w:r>
                <w:t>4</w:t>
              </w:r>
              <w:r>
                <w:fldChar w:fldCharType="end"/>
              </w:r>
            </w:p>
          </w:tc>
        </w:tr>
      </w:tbl>
      <w:p w14:paraId="14C90EF1" w14:textId="67949E50" w:rsidR="0096392C" w:rsidRDefault="00FF72CA" w:rsidP="003A4F3E">
        <w:pPr>
          <w:pStyle w:val="Foo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AB96" w14:textId="1753FD44" w:rsidR="00C55B8D" w:rsidRDefault="00C55B8D" w:rsidP="003A4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CCC3" w14:textId="77777777" w:rsidR="00E54BAE" w:rsidRDefault="00E54BAE">
      <w:pPr>
        <w:spacing w:before="0" w:after="0" w:line="240" w:lineRule="auto"/>
      </w:pPr>
      <w:r>
        <w:separator/>
      </w:r>
    </w:p>
    <w:p w14:paraId="25E4102F" w14:textId="77777777" w:rsidR="00E54BAE" w:rsidRDefault="00E54BAE"/>
  </w:footnote>
  <w:footnote w:type="continuationSeparator" w:id="0">
    <w:p w14:paraId="74534FFD" w14:textId="77777777" w:rsidR="00E54BAE" w:rsidRDefault="00E54BAE">
      <w:pPr>
        <w:spacing w:before="0" w:after="0" w:line="240" w:lineRule="auto"/>
      </w:pPr>
      <w:r>
        <w:continuationSeparator/>
      </w:r>
    </w:p>
    <w:p w14:paraId="3B309279" w14:textId="77777777" w:rsidR="00E54BAE" w:rsidRDefault="00E54BAE"/>
  </w:footnote>
  <w:footnote w:type="continuationNotice" w:id="1">
    <w:p w14:paraId="5195750A" w14:textId="77777777" w:rsidR="00E54BAE" w:rsidRDefault="00E54BAE">
      <w:pPr>
        <w:spacing w:before="0" w:after="0" w:line="240" w:lineRule="auto"/>
      </w:pPr>
    </w:p>
    <w:p w14:paraId="6DB7E243" w14:textId="77777777" w:rsidR="00E54BAE" w:rsidRDefault="00E54BAE"/>
  </w:footnote>
  <w:footnote w:id="2">
    <w:p w14:paraId="0FA710FF" w14:textId="0706BDEB" w:rsidR="00EB5EB9" w:rsidRPr="0087494E" w:rsidRDefault="00EB5EB9">
      <w:pPr>
        <w:pStyle w:val="FootnoteText"/>
      </w:pPr>
      <w:r w:rsidRPr="004E604A">
        <w:rPr>
          <w:rFonts w:cs="Arial"/>
          <w:sz w:val="16"/>
          <w:szCs w:val="16"/>
          <w:vertAlign w:val="superscript"/>
        </w:rPr>
        <w:footnoteRef/>
      </w:r>
      <w:r w:rsidRPr="004E604A">
        <w:rPr>
          <w:rFonts w:cs="Arial"/>
          <w:sz w:val="16"/>
          <w:szCs w:val="16"/>
          <w:vertAlign w:val="superscript"/>
        </w:rPr>
        <w:t xml:space="preserve"> </w:t>
      </w:r>
      <w:r w:rsidRPr="00B459E8">
        <w:rPr>
          <w:rFonts w:cs="Arial"/>
          <w:sz w:val="16"/>
          <w:szCs w:val="16"/>
        </w:rPr>
        <w:t>Articolul 2 (24) Reg. UE 2019/2088 "factori de durabilitate" înseamnă aspecte de mediu, sociale și ale angajaților, respectarea drepturilor omului, aspecte de combatere a corupției și a mitei.</w:t>
      </w:r>
    </w:p>
  </w:footnote>
  <w:footnote w:id="3">
    <w:p w14:paraId="0E833FB4" w14:textId="73B4EA8D" w:rsidR="00F66848" w:rsidRPr="0087494E" w:rsidRDefault="00F66848">
      <w:pPr>
        <w:pStyle w:val="FootnoteText"/>
      </w:pPr>
      <w:r>
        <w:rPr>
          <w:rStyle w:val="FootnoteReference"/>
        </w:rPr>
        <w:footnoteRef/>
      </w:r>
      <w:r w:rsidRPr="002A627B">
        <w:t xml:space="preserve"> </w:t>
      </w:r>
      <w:hyperlink r:id="rId1" w:history="1">
        <w:r w:rsidR="008C1D5F" w:rsidRPr="008F078A">
          <w:rPr>
            <w:rStyle w:val="Hyperlink"/>
            <w:sz w:val="16"/>
            <w:szCs w:val="16"/>
          </w:rPr>
          <w:t>https://www.generali.com/our-responsibilities/our-commitment-to-the-environment-and-climate</w:t>
        </w:r>
      </w:hyperlink>
      <w:r w:rsidR="008C1D5F">
        <w:rPr>
          <w:sz w:val="16"/>
          <w:szCs w:val="16"/>
        </w:rPr>
        <w:t xml:space="preserve"> </w:t>
      </w:r>
    </w:p>
  </w:footnote>
  <w:footnote w:id="4">
    <w:p w14:paraId="5456C949" w14:textId="35C3F856" w:rsidR="00BE410D" w:rsidRPr="0087494E" w:rsidRDefault="00BE410D">
      <w:pPr>
        <w:pStyle w:val="FootnoteText"/>
      </w:pPr>
      <w:r>
        <w:rPr>
          <w:rStyle w:val="FootnoteReference"/>
        </w:rPr>
        <w:footnoteRef/>
      </w:r>
      <w:r w:rsidRPr="00CD64C9">
        <w:t xml:space="preserve"> </w:t>
      </w:r>
      <w:r w:rsidRPr="00993702">
        <w:rPr>
          <w:sz w:val="16"/>
          <w:szCs w:val="16"/>
        </w:rPr>
        <w:t xml:space="preserve">Tabelul 1 se referă la PAI obligatorii, iar tabelele 2 și 3 se referă la PAI suplimentare. </w:t>
      </w:r>
    </w:p>
  </w:footnote>
  <w:footnote w:id="5">
    <w:p w14:paraId="3749811E" w14:textId="24E1DE41" w:rsidR="00BE410D" w:rsidRPr="0087494E" w:rsidRDefault="00BE410D">
      <w:pPr>
        <w:pStyle w:val="FootnoteText"/>
        <w:rPr>
          <w:sz w:val="16"/>
          <w:szCs w:val="16"/>
        </w:rPr>
      </w:pPr>
      <w:r>
        <w:rPr>
          <w:rStyle w:val="FootnoteReference"/>
        </w:rPr>
        <w:footnoteRef/>
      </w:r>
      <w:r>
        <w:t xml:space="preserve"> </w:t>
      </w:r>
      <w:r w:rsidRPr="00A95202">
        <w:rPr>
          <w:sz w:val="16"/>
          <w:szCs w:val="16"/>
        </w:rPr>
        <w:t xml:space="preserve">Principalii furnizori externi utilizați </w:t>
      </w:r>
      <w:r w:rsidR="001666D2">
        <w:rPr>
          <w:sz w:val="16"/>
          <w:szCs w:val="16"/>
        </w:rPr>
        <w:t xml:space="preserve">sunt </w:t>
      </w:r>
      <w:r w:rsidRPr="00A95202">
        <w:rPr>
          <w:sz w:val="16"/>
          <w:szCs w:val="16"/>
        </w:rPr>
        <w:t>MSCI</w:t>
      </w:r>
      <w:r w:rsidR="00BD5FF0">
        <w:rPr>
          <w:sz w:val="16"/>
          <w:szCs w:val="16"/>
        </w:rPr>
        <w:t xml:space="preserve"> pentru datele PAI</w:t>
      </w:r>
      <w:r w:rsidR="00CF48F8">
        <w:rPr>
          <w:sz w:val="16"/>
          <w:szCs w:val="16"/>
        </w:rPr>
        <w:t xml:space="preserve"> </w:t>
      </w:r>
      <w:r w:rsidR="00DA4FA9">
        <w:rPr>
          <w:sz w:val="16"/>
          <w:szCs w:val="16"/>
        </w:rPr>
        <w:t>și</w:t>
      </w:r>
      <w:r w:rsidR="00CF48F8">
        <w:rPr>
          <w:sz w:val="16"/>
          <w:szCs w:val="16"/>
        </w:rPr>
        <w:t xml:space="preserve"> </w:t>
      </w:r>
      <w:r w:rsidR="00CE3EE8">
        <w:rPr>
          <w:sz w:val="16"/>
          <w:szCs w:val="16"/>
        </w:rPr>
        <w:t xml:space="preserve">Morningstar </w:t>
      </w:r>
      <w:r w:rsidR="00DA4FA9">
        <w:rPr>
          <w:sz w:val="16"/>
          <w:szCs w:val="16"/>
        </w:rPr>
        <w:t xml:space="preserve">pentru </w:t>
      </w:r>
      <w:r w:rsidR="00CF48F8">
        <w:rPr>
          <w:sz w:val="16"/>
          <w:szCs w:val="16"/>
        </w:rPr>
        <w:t>stocurile fondurilor</w:t>
      </w:r>
      <w:r w:rsidR="00DA4FA9">
        <w:rPr>
          <w:sz w:val="16"/>
          <w:szCs w:val="16"/>
        </w:rPr>
        <w:t>.</w:t>
      </w:r>
    </w:p>
  </w:footnote>
  <w:footnote w:id="6">
    <w:p w14:paraId="1EA2CAED" w14:textId="1BFD5366" w:rsidR="00814CD6" w:rsidRPr="0087494E" w:rsidRDefault="00814CD6">
      <w:pPr>
        <w:pStyle w:val="FootnoteText"/>
      </w:pPr>
      <w:r w:rsidRPr="00814CD6">
        <w:rPr>
          <w:rStyle w:val="FootnoteReference"/>
          <w:sz w:val="10"/>
          <w:szCs w:val="16"/>
        </w:rPr>
        <w:footnoteRef/>
      </w:r>
      <w:r w:rsidRPr="00814CD6">
        <w:rPr>
          <w:sz w:val="16"/>
          <w:szCs w:val="16"/>
        </w:rPr>
        <w:t xml:space="preserve"> Explicație extinsă a principalului indicator de impact negativ, inclusiv unitatea de măsură de referință</w:t>
      </w:r>
    </w:p>
  </w:footnote>
  <w:footnote w:id="7">
    <w:p w14:paraId="17750D00" w14:textId="6D8262DB" w:rsidR="00105568" w:rsidRPr="0087494E" w:rsidRDefault="00105568">
      <w:pPr>
        <w:pStyle w:val="FootnoteText"/>
        <w:rPr>
          <w:sz w:val="16"/>
          <w:szCs w:val="16"/>
        </w:rPr>
      </w:pPr>
      <w:r w:rsidRPr="00667CC2">
        <w:rPr>
          <w:rStyle w:val="FootnoteReference"/>
          <w:sz w:val="16"/>
          <w:szCs w:val="16"/>
        </w:rPr>
        <w:footnoteRef/>
      </w:r>
      <w:r w:rsidRPr="00667CC2">
        <w:rPr>
          <w:sz w:val="16"/>
          <w:szCs w:val="16"/>
        </w:rPr>
        <w:t xml:space="preserve"> </w:t>
      </w:r>
      <w:r w:rsidR="00F367DF" w:rsidRPr="00667CC2">
        <w:rPr>
          <w:sz w:val="16"/>
          <w:szCs w:val="16"/>
        </w:rPr>
        <w:t>În ceea ce privește</w:t>
      </w:r>
      <w:r w:rsidR="004D09F2" w:rsidRPr="00667CC2">
        <w:rPr>
          <w:sz w:val="16"/>
          <w:szCs w:val="16"/>
        </w:rPr>
        <w:t>investițiile în cont general, atât fondurile directe, cât și indirecte, care acoperă capitalul acționarilor sau provizioanele tehnice ale produselor de asigurare, în cazul în care riscul investițional este suportat exclusiv sau în principal de acționar</w:t>
      </w:r>
      <w:r w:rsidR="00404CF5">
        <w:rPr>
          <w:sz w:val="16"/>
          <w:szCs w:val="16"/>
        </w:rPr>
        <w:t xml:space="preserve">. </w:t>
      </w:r>
    </w:p>
  </w:footnote>
  <w:footnote w:id="8">
    <w:p w14:paraId="5DE7AB01" w14:textId="0474ED01" w:rsidR="00F81EDF" w:rsidRPr="0087494E" w:rsidRDefault="00F81EDF" w:rsidP="00F81EDF">
      <w:pPr>
        <w:spacing w:before="120" w:after="120" w:line="240" w:lineRule="auto"/>
        <w:contextualSpacing w:val="0"/>
        <w:jc w:val="both"/>
        <w:rPr>
          <w:rFonts w:cs="Arial"/>
          <w:szCs w:val="18"/>
        </w:rPr>
      </w:pPr>
      <w:r>
        <w:rPr>
          <w:rStyle w:val="FootnoteReference"/>
        </w:rPr>
        <w:footnoteRef/>
      </w:r>
      <w:r w:rsidRPr="00FA4B11">
        <w:t xml:space="preserve"> </w:t>
      </w:r>
      <w:r w:rsidRPr="00F81EDF">
        <w:rPr>
          <w:rFonts w:cs="Arial"/>
          <w:sz w:val="16"/>
          <w:szCs w:val="16"/>
        </w:rPr>
        <w:t>Încorporarea factorilor de sustenabilitate în procesul de investiții se bazează pe diferite elemente, cum ar fi disponibilitatea și calitatea datelor, cercetarea și analiza ESG pentru a informa procesul decizional de investiții, utilizarea unor metodologii și instrumente solide și recunoscute pe scară largă, evaluările impactului asupra profilului de risc/randament financiar al portofoliilor și reglementarea de referință aplicabilă.</w:t>
      </w:r>
    </w:p>
  </w:footnote>
  <w:footnote w:id="9">
    <w:p w14:paraId="03FB237F" w14:textId="7E971E67" w:rsidR="00EB5EB9" w:rsidRPr="0087494E" w:rsidRDefault="00EB5EB9">
      <w:pPr>
        <w:pStyle w:val="FootnoteText"/>
      </w:pPr>
      <w:r>
        <w:rPr>
          <w:rStyle w:val="FootnoteReference"/>
        </w:rPr>
        <w:footnoteRef/>
      </w:r>
      <w:r w:rsidRPr="00B459E8">
        <w:rPr>
          <w:rFonts w:cs="Arial"/>
          <w:sz w:val="16"/>
          <w:szCs w:val="16"/>
        </w:rPr>
        <w:t xml:space="preserve"> Articolul 2 alineatul (22) din Regulamentul UE 2019/2088 "risc de durabilitate" înseamnă un eveniment sau o afecțiune de mediu, socială sau de guvernanță care, dacă are loc, ar putea avea un impact negativ semnificativ real sau potențial asupra valorii investiției.  </w:t>
      </w:r>
    </w:p>
  </w:footnote>
  <w:footnote w:id="10">
    <w:p w14:paraId="6AD7631B" w14:textId="0AE4FAFA" w:rsidR="001F208B" w:rsidRPr="0087494E" w:rsidRDefault="001F208B">
      <w:pPr>
        <w:pStyle w:val="FootnoteText"/>
      </w:pPr>
      <w:r w:rsidRPr="001A37B2">
        <w:rPr>
          <w:rStyle w:val="FootnoteReference"/>
        </w:rPr>
        <w:footnoteRef/>
      </w:r>
      <w:r w:rsidRPr="001A37B2">
        <w:t xml:space="preserve"> </w:t>
      </w:r>
      <w:r w:rsidR="00A4666A" w:rsidRPr="001A37B2">
        <w:rPr>
          <w:sz w:val="16"/>
          <w:szCs w:val="16"/>
        </w:rPr>
        <w:t>Emitenți cu performanțe slabe în comparație cu omologii din sectorul lor (în cazul emitenților corporativi) sau țări (în cazul emitenților suverani).</w:t>
      </w:r>
    </w:p>
  </w:footnote>
  <w:footnote w:id="11">
    <w:p w14:paraId="70ACF1E6" w14:textId="795EFC7F" w:rsidR="0092620B" w:rsidRPr="0087494E" w:rsidRDefault="0092620B" w:rsidP="0092620B">
      <w:pPr>
        <w:pStyle w:val="FootnoteText"/>
      </w:pPr>
      <w:r>
        <w:rPr>
          <w:rStyle w:val="FootnoteReference"/>
        </w:rPr>
        <w:footnoteRef/>
      </w:r>
      <w:r w:rsidRPr="0066529E">
        <w:t xml:space="preserve"> </w:t>
      </w:r>
      <w:r w:rsidRPr="001F208B">
        <w:rPr>
          <w:sz w:val="16"/>
          <w:szCs w:val="16"/>
        </w:rPr>
        <w:t>Evaluat prin ratinguri ESG (unul sau mai multe, interne sau externe).</w:t>
      </w:r>
    </w:p>
  </w:footnote>
  <w:footnote w:id="12">
    <w:p w14:paraId="19E3DC33" w14:textId="77777777" w:rsidR="001A6FA3" w:rsidRPr="0087494E" w:rsidRDefault="001A6FA3" w:rsidP="001A6FA3">
      <w:pPr>
        <w:pStyle w:val="FootnoteText"/>
      </w:pPr>
      <w:r w:rsidRPr="009F70A8">
        <w:rPr>
          <w:rStyle w:val="FootnoteReference"/>
        </w:rPr>
        <w:footnoteRef/>
      </w:r>
      <w:r w:rsidRPr="009F70A8">
        <w:t xml:space="preserve"> </w:t>
      </w:r>
      <w:r w:rsidRPr="009F70A8">
        <w:rPr>
          <w:rFonts w:cs="Arial"/>
          <w:sz w:val="16"/>
          <w:szCs w:val="16"/>
        </w:rPr>
        <w:t xml:space="preserve">Categorii </w:t>
      </w:r>
      <w:r w:rsidRPr="009F70A8">
        <w:rPr>
          <w:rFonts w:cs="Arial"/>
          <w:sz w:val="16"/>
          <w:szCs w:val="16"/>
        </w:rPr>
        <w:t>analizate: energie, apă, deșeuri, materiale, utilizarea terenurilor și ecologie, poluare, transport, sănătate și bunăstare, management.</w:t>
      </w:r>
    </w:p>
  </w:footnote>
  <w:footnote w:id="13">
    <w:p w14:paraId="558341E7" w14:textId="77777777" w:rsidR="001A6FA3" w:rsidRPr="0087494E" w:rsidRDefault="001A6FA3" w:rsidP="001A6FA3">
      <w:pPr>
        <w:pStyle w:val="FootnoteText"/>
        <w:rPr>
          <w:sz w:val="16"/>
          <w:szCs w:val="16"/>
        </w:rPr>
      </w:pPr>
      <w:r w:rsidRPr="009F70A8">
        <w:rPr>
          <w:rStyle w:val="FootnoteReference"/>
          <w:sz w:val="16"/>
          <w:szCs w:val="16"/>
        </w:rPr>
        <w:footnoteRef/>
      </w:r>
      <w:r w:rsidRPr="009F70A8">
        <w:rPr>
          <w:sz w:val="16"/>
          <w:szCs w:val="16"/>
        </w:rPr>
        <w:t xml:space="preserve"> TCFD a dezvoltat un cadru pentru a ajuta companiile publice și alte organizații să dezvăluie mai eficient riscurile și oportunitățile legate de climă prin procesele lor de raportare existente.</w:t>
      </w:r>
    </w:p>
  </w:footnote>
  <w:footnote w:id="14">
    <w:p w14:paraId="7F871920" w14:textId="0E7DEC35" w:rsidR="00C53D38" w:rsidRPr="0087494E" w:rsidRDefault="00C53D38">
      <w:pPr>
        <w:pStyle w:val="FootnoteText"/>
      </w:pPr>
      <w:r w:rsidRPr="00667CC2">
        <w:rPr>
          <w:rStyle w:val="FootnoteReference"/>
          <w:sz w:val="10"/>
          <w:szCs w:val="16"/>
        </w:rPr>
        <w:footnoteRef/>
      </w:r>
      <w:r w:rsidRPr="0087494E">
        <w:rPr>
          <w:sz w:val="16"/>
          <w:szCs w:val="16"/>
        </w:rPr>
        <w:t xml:space="preserve"> https://www.generali.com/it/sustainability/our-commitment-to-the-environment-and-climate</w:t>
      </w:r>
    </w:p>
  </w:footnote>
  <w:footnote w:id="15">
    <w:p w14:paraId="175FB84B" w14:textId="028C1FDC" w:rsidR="005E361D" w:rsidRPr="0087494E" w:rsidRDefault="005E361D">
      <w:pPr>
        <w:pStyle w:val="FootnoteText"/>
      </w:pPr>
      <w:r>
        <w:rPr>
          <w:rStyle w:val="FootnoteReference"/>
        </w:rPr>
        <w:footnoteRef/>
      </w:r>
      <w:r w:rsidRPr="00CD64C9">
        <w:t xml:space="preserve"> </w:t>
      </w:r>
      <w:r w:rsidRPr="00CD64C9">
        <w:rPr>
          <w:sz w:val="16"/>
          <w:szCs w:val="16"/>
        </w:rPr>
        <w:t>Integrarea sustenabilității în Ghidul Grupului de Investiții și Proprietate Activă.</w:t>
      </w:r>
    </w:p>
  </w:footnote>
  <w:footnote w:id="16">
    <w:p w14:paraId="094FB02B" w14:textId="017C5CC3" w:rsidR="001A2D94" w:rsidRPr="0087494E" w:rsidRDefault="001A2D94">
      <w:pPr>
        <w:pStyle w:val="FootnoteText"/>
      </w:pPr>
      <w:r>
        <w:rPr>
          <w:rStyle w:val="FootnoteReference"/>
        </w:rPr>
        <w:footnoteRef/>
      </w:r>
      <w:r w:rsidRPr="00FA4B11">
        <w:t xml:space="preserve"> </w:t>
      </w:r>
      <w:r w:rsidR="00284DD2" w:rsidRPr="00FA4B11">
        <w:rPr>
          <w:sz w:val="16"/>
          <w:szCs w:val="16"/>
        </w:rPr>
        <w:t>Ghidurile PRI au fost utilizate ca standard de referință pentru definirea Cadrului de Grup.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1643" w14:textId="77777777" w:rsidR="00E2046F" w:rsidRDefault="00E20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FFD4" w14:textId="04A0C19D" w:rsidR="00FF5C97" w:rsidRDefault="00763E04">
    <w:pPr>
      <w:pStyle w:val="Header"/>
    </w:pPr>
    <w:r>
      <w:rPr>
        <w:noProof/>
      </w:rPr>
      <w:drawing>
        <wp:anchor distT="0" distB="0" distL="114300" distR="114300" simplePos="0" relativeHeight="251658241" behindDoc="0" locked="0" layoutInCell="1" allowOverlap="1" wp14:anchorId="19E59C88" wp14:editId="0E7B9DAA">
          <wp:simplePos x="0" y="0"/>
          <wp:positionH relativeFrom="column">
            <wp:posOffset>-544554</wp:posOffset>
          </wp:positionH>
          <wp:positionV relativeFrom="page">
            <wp:posOffset>-28575</wp:posOffset>
          </wp:positionV>
          <wp:extent cx="2584798" cy="1220403"/>
          <wp:effectExtent l="0" t="0" r="0" b="0"/>
          <wp:wrapNone/>
          <wp:docPr id="1763122076" name="Picture 1763122076" descr="Siglă&#10;&#10;Descriere generată autom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84798" cy="1220403"/>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15" w:type="dxa"/>
      <w:tblInd w:w="4275" w:type="dxa"/>
      <w:tblLayout w:type="fixed"/>
      <w:tblCellMar>
        <w:left w:w="10" w:type="dxa"/>
        <w:right w:w="10" w:type="dxa"/>
      </w:tblCellMar>
      <w:tblLook w:val="04A0" w:firstRow="1" w:lastRow="0" w:firstColumn="1" w:lastColumn="0" w:noHBand="0" w:noVBand="1"/>
    </w:tblPr>
    <w:tblGrid>
      <w:gridCol w:w="332"/>
      <w:gridCol w:w="5883"/>
    </w:tblGrid>
    <w:tr w:rsidR="00FF5C97" w14:paraId="1DAD950A" w14:textId="77777777" w:rsidTr="003E5DE7">
      <w:trPr>
        <w:cantSplit/>
        <w:trHeight w:hRule="exact" w:val="319"/>
      </w:trPr>
      <w:tc>
        <w:tcPr>
          <w:tcW w:w="332" w:type="dxa"/>
          <w:tcMar>
            <w:top w:w="0" w:type="dxa"/>
            <w:left w:w="0" w:type="dxa"/>
            <w:bottom w:w="0" w:type="dxa"/>
            <w:right w:w="0" w:type="dxa"/>
          </w:tcMar>
        </w:tcPr>
        <w:p w14:paraId="2B6EC6E6" w14:textId="77777777" w:rsidR="00FF5C97" w:rsidRDefault="00FF5C97">
          <w:pPr>
            <w:pStyle w:val="Header"/>
          </w:pPr>
        </w:p>
      </w:tc>
      <w:tc>
        <w:tcPr>
          <w:tcW w:w="5883" w:type="dxa"/>
          <w:tcMar>
            <w:top w:w="0" w:type="dxa"/>
            <w:left w:w="0" w:type="dxa"/>
            <w:bottom w:w="0" w:type="dxa"/>
            <w:right w:w="0" w:type="dxa"/>
          </w:tcMar>
        </w:tcPr>
        <w:p w14:paraId="53D140BE" w14:textId="77777777" w:rsidR="00FF5C97" w:rsidRDefault="00FF5C97">
          <w:pPr>
            <w:pStyle w:val="GcoverGeneraliGroup"/>
          </w:pPr>
        </w:p>
      </w:tc>
    </w:tr>
    <w:tr w:rsidR="00FF5C97" w14:paraId="4D19D7CC" w14:textId="77777777" w:rsidTr="003E5DE7">
      <w:trPr>
        <w:cantSplit/>
        <w:trHeight w:hRule="exact" w:val="319"/>
      </w:trPr>
      <w:tc>
        <w:tcPr>
          <w:tcW w:w="332" w:type="dxa"/>
          <w:tcMar>
            <w:top w:w="0" w:type="dxa"/>
            <w:left w:w="0" w:type="dxa"/>
            <w:bottom w:w="0" w:type="dxa"/>
            <w:right w:w="0" w:type="dxa"/>
          </w:tcMar>
        </w:tcPr>
        <w:p w14:paraId="273B5635" w14:textId="77777777" w:rsidR="00FF5C97" w:rsidRDefault="00FF5C97">
          <w:pPr>
            <w:pStyle w:val="Header"/>
            <w:rPr>
              <w:lang w:val="en-US" w:eastAsia="en-US"/>
            </w:rPr>
          </w:pPr>
        </w:p>
      </w:tc>
      <w:tc>
        <w:tcPr>
          <w:tcW w:w="5883" w:type="dxa"/>
          <w:tcMar>
            <w:top w:w="0" w:type="dxa"/>
            <w:left w:w="0" w:type="dxa"/>
            <w:bottom w:w="0" w:type="dxa"/>
            <w:right w:w="0" w:type="dxa"/>
          </w:tcMar>
        </w:tcPr>
        <w:p w14:paraId="2A670439" w14:textId="77777777" w:rsidR="00FF5C97" w:rsidRDefault="00FF5C97">
          <w:pPr>
            <w:pStyle w:val="GcoverGeneraliGroup"/>
            <w:rPr>
              <w:lang w:val="en-US" w:eastAsia="en-US"/>
            </w:rPr>
          </w:pPr>
        </w:p>
      </w:tc>
    </w:tr>
    <w:tr w:rsidR="00FF5C97" w:rsidRPr="00E3260F" w14:paraId="556084F8" w14:textId="77777777" w:rsidTr="003E5DE7">
      <w:trPr>
        <w:cantSplit/>
        <w:trHeight w:hRule="exact" w:val="3188"/>
      </w:trPr>
      <w:tc>
        <w:tcPr>
          <w:tcW w:w="332" w:type="dxa"/>
          <w:vMerge w:val="restart"/>
          <w:tcMar>
            <w:top w:w="0" w:type="dxa"/>
            <w:left w:w="0" w:type="dxa"/>
            <w:bottom w:w="0" w:type="dxa"/>
            <w:right w:w="0" w:type="dxa"/>
          </w:tcMar>
        </w:tcPr>
        <w:p w14:paraId="737885D2" w14:textId="77777777" w:rsidR="00FF5C97" w:rsidRDefault="00FF5C97" w:rsidP="001927B0">
          <w:pPr>
            <w:pStyle w:val="Header"/>
            <w:spacing w:line="240" w:lineRule="auto"/>
          </w:pPr>
        </w:p>
      </w:tc>
      <w:tc>
        <w:tcPr>
          <w:tcW w:w="5883" w:type="dxa"/>
          <w:tcMar>
            <w:top w:w="0" w:type="dxa"/>
            <w:left w:w="0" w:type="dxa"/>
            <w:bottom w:w="0" w:type="dxa"/>
            <w:right w:w="0" w:type="dxa"/>
          </w:tcMar>
        </w:tcPr>
        <w:p w14:paraId="71B2CBE3" w14:textId="4F00737B" w:rsidR="00FF5C97" w:rsidRPr="008B0C5C" w:rsidRDefault="001927B0" w:rsidP="001927B0">
          <w:pPr>
            <w:pStyle w:val="GcoverGeneraliGroup"/>
            <w:spacing w:line="240" w:lineRule="auto"/>
          </w:pPr>
          <w:r w:rsidRPr="008B0C5C">
            <w:t>Assicurazioni Generali S.p.A.</w:t>
          </w:r>
        </w:p>
        <w:p w14:paraId="7344B461" w14:textId="2ADC4104" w:rsidR="00FF5C97" w:rsidRPr="0087494E" w:rsidRDefault="00187B40" w:rsidP="001927B0">
          <w:pPr>
            <w:pStyle w:val="GcoverTitle"/>
            <w:spacing w:line="240" w:lineRule="auto"/>
            <w:rPr>
              <w:b/>
              <w:bCs/>
              <w:sz w:val="24"/>
              <w:szCs w:val="22"/>
            </w:rPr>
          </w:pPr>
          <w:r w:rsidRPr="004E604A">
            <w:rPr>
              <w:b/>
              <w:bCs/>
              <w:sz w:val="24"/>
              <w:szCs w:val="22"/>
            </w:rPr>
            <w:t>LEI:</w:t>
          </w:r>
        </w:p>
        <w:p w14:paraId="7E44C77E" w14:textId="77777777" w:rsidR="00187B40" w:rsidRPr="0087494E" w:rsidRDefault="00187B40" w:rsidP="001927B0">
          <w:pPr>
            <w:pStyle w:val="GcoverTitle"/>
            <w:spacing w:line="240" w:lineRule="auto"/>
            <w:rPr>
              <w:b/>
              <w:bCs/>
              <w:sz w:val="24"/>
              <w:szCs w:val="22"/>
            </w:rPr>
          </w:pPr>
        </w:p>
        <w:p w14:paraId="4A02EA03" w14:textId="74A32B5E" w:rsidR="005034BB" w:rsidRPr="0087494E" w:rsidRDefault="001927B0" w:rsidP="001927B0">
          <w:pPr>
            <w:pStyle w:val="Gcoversubtitle"/>
            <w:spacing w:line="240" w:lineRule="auto"/>
            <w:rPr>
              <w:color w:val="auto"/>
            </w:rPr>
          </w:pPr>
          <w:r w:rsidRPr="001927B0">
            <w:rPr>
              <w:caps/>
              <w:sz w:val="36"/>
            </w:rPr>
            <w:t>Declarație privind principalele efecte negative ale deciziilor de investiții asupra factorilor de durabilitate</w:t>
          </w:r>
        </w:p>
        <w:p w14:paraId="5DA5236E" w14:textId="77777777" w:rsidR="001927B0" w:rsidRPr="0087494E" w:rsidRDefault="001927B0" w:rsidP="001927B0">
          <w:pPr>
            <w:widowControl/>
            <w:tabs>
              <w:tab w:val="left" w:pos="3517"/>
            </w:tabs>
            <w:suppressAutoHyphens w:val="0"/>
            <w:autoSpaceDN/>
            <w:spacing w:before="0" w:after="0" w:line="280" w:lineRule="exact"/>
            <w:contextualSpacing w:val="0"/>
            <w:rPr>
              <w:sz w:val="22"/>
              <w:szCs w:val="32"/>
            </w:rPr>
          </w:pPr>
          <w:r w:rsidRPr="001927B0">
            <w:rPr>
              <w:sz w:val="22"/>
              <w:szCs w:val="32"/>
            </w:rPr>
            <w:t>Punerea în aplicare a Regulamentului (UE) 2019/2088 articolul 4</w:t>
          </w:r>
        </w:p>
        <w:p w14:paraId="6278F51F" w14:textId="53A1EEC6" w:rsidR="00FF5C97" w:rsidRPr="0087494E" w:rsidRDefault="00FF5C97" w:rsidP="001927B0">
          <w:pPr>
            <w:pStyle w:val="Gcoversubtitle"/>
            <w:spacing w:line="240" w:lineRule="auto"/>
            <w:rPr>
              <w:i/>
              <w:sz w:val="18"/>
              <w:szCs w:val="18"/>
            </w:rPr>
          </w:pPr>
        </w:p>
      </w:tc>
    </w:tr>
    <w:tr w:rsidR="00FF5C97" w14:paraId="08F26971" w14:textId="77777777" w:rsidTr="003E5DE7">
      <w:trPr>
        <w:cantSplit/>
        <w:trHeight w:hRule="exact" w:val="421"/>
      </w:trPr>
      <w:tc>
        <w:tcPr>
          <w:tcW w:w="332" w:type="dxa"/>
          <w:vMerge/>
          <w:tcMar>
            <w:top w:w="0" w:type="dxa"/>
            <w:left w:w="0" w:type="dxa"/>
            <w:bottom w:w="0" w:type="dxa"/>
            <w:right w:w="0" w:type="dxa"/>
          </w:tcMar>
        </w:tcPr>
        <w:p w14:paraId="72DA0EB5" w14:textId="77777777" w:rsidR="00FF5C97" w:rsidRPr="0087494E" w:rsidRDefault="00FF5C97">
          <w:pPr>
            <w:pStyle w:val="Header"/>
          </w:pPr>
        </w:p>
      </w:tc>
      <w:tc>
        <w:tcPr>
          <w:tcW w:w="5883" w:type="dxa"/>
          <w:tcMar>
            <w:top w:w="0" w:type="dxa"/>
            <w:left w:w="0" w:type="dxa"/>
            <w:bottom w:w="0" w:type="dxa"/>
            <w:right w:w="0" w:type="dxa"/>
          </w:tcMar>
        </w:tcPr>
        <w:p w14:paraId="3273362F" w14:textId="77777777" w:rsidR="00FF5C97" w:rsidRDefault="00763E04">
          <w:pPr>
            <w:pStyle w:val="Gcoverwebsitesite"/>
          </w:pPr>
          <w:r>
            <w:t>generali.com</w:t>
          </w:r>
        </w:p>
      </w:tc>
    </w:tr>
  </w:tbl>
  <w:p w14:paraId="56C3C8A6" w14:textId="206E7BE1" w:rsidR="00FF5C97" w:rsidRDefault="00763E04">
    <w:pPr>
      <w:pStyle w:val="Header"/>
    </w:pPr>
    <w:r>
      <w:rPr>
        <w:noProof/>
      </w:rPr>
      <w:drawing>
        <wp:anchor distT="0" distB="0" distL="114300" distR="114300" simplePos="0" relativeHeight="251658240" behindDoc="0" locked="0" layoutInCell="1" allowOverlap="1" wp14:anchorId="1C92F04B" wp14:editId="4C1930C2">
          <wp:simplePos x="0" y="0"/>
          <wp:positionH relativeFrom="column">
            <wp:posOffset>-541023</wp:posOffset>
          </wp:positionH>
          <wp:positionV relativeFrom="page">
            <wp:posOffset>0</wp:posOffset>
          </wp:positionV>
          <wp:extent cx="2584798" cy="1220403"/>
          <wp:effectExtent l="0" t="0" r="0" b="0"/>
          <wp:wrapNone/>
          <wp:docPr id="1251499084" name="Picture 1251499084" descr="Siglă&#10;&#10;Descriere generată autom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84798" cy="1220403"/>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0B76A" w14:textId="4B66BD2A" w:rsidR="007F1B07" w:rsidRDefault="007F1B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0111" w14:textId="3F73C269" w:rsidR="007F1B07" w:rsidRDefault="007F1B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C3DD" w14:textId="44503E0A" w:rsidR="0096392C" w:rsidRDefault="0096392C">
    <w:pPr>
      <w:pStyle w:val="Header"/>
    </w:pPr>
    <w:r>
      <w:rPr>
        <w:noProof/>
      </w:rPr>
      <w:drawing>
        <wp:anchor distT="0" distB="0" distL="114300" distR="114300" simplePos="0" relativeHeight="251658242" behindDoc="0" locked="0" layoutInCell="1" allowOverlap="1" wp14:anchorId="584CBA4B" wp14:editId="1293B441">
          <wp:simplePos x="0" y="0"/>
          <wp:positionH relativeFrom="column">
            <wp:posOffset>-541023</wp:posOffset>
          </wp:positionH>
          <wp:positionV relativeFrom="page">
            <wp:posOffset>0</wp:posOffset>
          </wp:positionV>
          <wp:extent cx="2584798" cy="1220403"/>
          <wp:effectExtent l="0" t="0" r="0" b="0"/>
          <wp:wrapNone/>
          <wp:docPr id="153744057" name="Picture 153744057" descr="Siglă&#10;&#10;Descriere generată autom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84798" cy="1220403"/>
                  </a:xfrm>
                  <a:prstGeom prst="rect">
                    <a:avLst/>
                  </a:prstGeom>
                  <a:noFill/>
                  <a:ln>
                    <a:noFill/>
                    <a:prstDash/>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E28" w14:textId="35A84C8F" w:rsidR="007F1B07" w:rsidRDefault="007F1B0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BEA81" w14:textId="148DEA76" w:rsidR="007F1B07" w:rsidRDefault="007F1B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CC97" w14:textId="56F5FAED" w:rsidR="007F1B07" w:rsidRDefault="007F1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7553F"/>
    <w:multiLevelType w:val="hybridMultilevel"/>
    <w:tmpl w:val="A554263C"/>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15347"/>
    <w:multiLevelType w:val="hybridMultilevel"/>
    <w:tmpl w:val="3C7E11DA"/>
    <w:lvl w:ilvl="0" w:tplc="450EBD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6589E"/>
    <w:multiLevelType w:val="hybridMultilevel"/>
    <w:tmpl w:val="DC4618B0"/>
    <w:lvl w:ilvl="0" w:tplc="63A63E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45B2CF4"/>
    <w:multiLevelType w:val="hybridMultilevel"/>
    <w:tmpl w:val="8C4CD5DC"/>
    <w:lvl w:ilvl="0" w:tplc="04100001">
      <w:start w:val="1"/>
      <w:numFmt w:val="bullet"/>
      <w:lvlText w:val=""/>
      <w:lvlJc w:val="left"/>
      <w:pPr>
        <w:ind w:left="720" w:hanging="360"/>
      </w:pPr>
      <w:rPr>
        <w:rFonts w:ascii="Symbol" w:hAnsi="Symbol" w:hint="default"/>
      </w:rPr>
    </w:lvl>
    <w:lvl w:ilvl="1" w:tplc="0EB6D87E">
      <w:start w:val="1"/>
      <w:numFmt w:val="bullet"/>
      <w:pStyle w:val="ListParagraph"/>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827316"/>
    <w:multiLevelType w:val="hybridMultilevel"/>
    <w:tmpl w:val="593CB0CC"/>
    <w:lvl w:ilvl="0" w:tplc="27ECF3E6">
      <w:start w:val="1"/>
      <w:numFmt w:val="bullet"/>
      <w:lvlText w:val="-"/>
      <w:lvlJc w:val="left"/>
      <w:pPr>
        <w:ind w:left="1080" w:hanging="360"/>
      </w:pPr>
      <w:rPr>
        <w:rFonts w:ascii="Calibri" w:hAnsi="Calibr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A87352"/>
    <w:multiLevelType w:val="hybridMultilevel"/>
    <w:tmpl w:val="EEB2D5AC"/>
    <w:lvl w:ilvl="0" w:tplc="ADB0CCE2">
      <w:start w:val="1"/>
      <w:numFmt w:val="bullet"/>
      <w:lvlText w:val=""/>
      <w:lvlJc w:val="left"/>
      <w:pPr>
        <w:ind w:left="720" w:hanging="360"/>
      </w:pPr>
      <w:rPr>
        <w:rFonts w:ascii="Symbol" w:hAnsi="Symbol" w:hint="default"/>
        <w:color w:val="BD2027"/>
      </w:rPr>
    </w:lvl>
    <w:lvl w:ilvl="1" w:tplc="41FA8FB8">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F95F5E"/>
    <w:multiLevelType w:val="multilevel"/>
    <w:tmpl w:val="D87217F0"/>
    <w:styleLink w:val="LFO7"/>
    <w:lvl w:ilvl="0">
      <w:numFmt w:val="bullet"/>
      <w:lvlText w:val=""/>
      <w:lvlJc w:val="left"/>
      <w:pPr>
        <w:ind w:left="360" w:hanging="360"/>
      </w:pPr>
      <w:rPr>
        <w:rFonts w:ascii="Symbol" w:hAnsi="Symbol"/>
        <w:caps w:val="0"/>
        <w:strike w:val="0"/>
        <w:dstrike w:val="0"/>
        <w:vanish w:val="0"/>
        <w:color w:val="BD2027"/>
        <w:position w:val="0"/>
        <w:u w:val="none"/>
        <w:vertAlign w:val="baselin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020271D"/>
    <w:multiLevelType w:val="hybridMultilevel"/>
    <w:tmpl w:val="0D3640B0"/>
    <w:lvl w:ilvl="0" w:tplc="FA867F1E">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9" w15:restartNumberingAfterBreak="0">
    <w:nsid w:val="24521156"/>
    <w:multiLevelType w:val="multilevel"/>
    <w:tmpl w:val="76C8404E"/>
    <w:styleLink w:val="LFO2"/>
    <w:lvl w:ilvl="0">
      <w:numFmt w:val="bullet"/>
      <w:pStyle w:val="tabletxt3levelbullet"/>
      <w:lvlText w:val="-"/>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92057"/>
    <w:multiLevelType w:val="hybridMultilevel"/>
    <w:tmpl w:val="6672A922"/>
    <w:lvl w:ilvl="0" w:tplc="15EC6BD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00C689F"/>
    <w:multiLevelType w:val="multilevel"/>
    <w:tmpl w:val="B036A78C"/>
    <w:styleLink w:val="LFO3"/>
    <w:lvl w:ilvl="0">
      <w:numFmt w:val="bullet"/>
      <w:pStyle w:val="textbullet"/>
      <w:lvlText w:val=""/>
      <w:lvlJc w:val="left"/>
      <w:pPr>
        <w:ind w:left="720" w:hanging="360"/>
      </w:pPr>
      <w:rPr>
        <w:rFonts w:ascii="Symbol" w:hAnsi="Symbol"/>
        <w:color w:val="BD2027"/>
      </w:rPr>
    </w:lvl>
    <w:lvl w:ilvl="1">
      <w:numFmt w:val="bullet"/>
      <w:pStyle w:val="text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9F81F83"/>
    <w:multiLevelType w:val="hybridMultilevel"/>
    <w:tmpl w:val="972633C6"/>
    <w:lvl w:ilvl="0" w:tplc="AFCC99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CCB7608"/>
    <w:multiLevelType w:val="multilevel"/>
    <w:tmpl w:val="B67659E6"/>
    <w:styleLink w:val="LFO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D3679C1"/>
    <w:multiLevelType w:val="hybridMultilevel"/>
    <w:tmpl w:val="832CB5D6"/>
    <w:lvl w:ilvl="0" w:tplc="84007C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7270F2"/>
    <w:multiLevelType w:val="hybridMultilevel"/>
    <w:tmpl w:val="A7DE8958"/>
    <w:lvl w:ilvl="0" w:tplc="76EE21C2">
      <w:start w:val="1"/>
      <w:numFmt w:val="bullet"/>
      <w:lvlText w:val=""/>
      <w:lvlJc w:val="left"/>
      <w:pPr>
        <w:ind w:left="720" w:hanging="360"/>
      </w:pPr>
      <w:rPr>
        <w:rFonts w:ascii="Wingdings" w:hAnsi="Wingdings" w:hint="default"/>
        <w:caps w:val="0"/>
        <w:strike w:val="0"/>
        <w:dstrike w:val="0"/>
        <w:vanish w:val="0"/>
        <w:color w:val="auto"/>
        <w:u w:val="none"/>
        <w:effec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DE7C6F"/>
    <w:multiLevelType w:val="multilevel"/>
    <w:tmpl w:val="D6ECC22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41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9F03E8B"/>
    <w:multiLevelType w:val="hybridMultilevel"/>
    <w:tmpl w:val="521C7D28"/>
    <w:lvl w:ilvl="0" w:tplc="0010DDC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3D4F91"/>
    <w:multiLevelType w:val="multilevel"/>
    <w:tmpl w:val="859E7FBA"/>
    <w:styleLink w:val="WWOutlineListStyle"/>
    <w:lvl w:ilvl="0">
      <w:start w:val="1"/>
      <w:numFmt w:val="decimal"/>
      <w:lvlText w:val="%1"/>
      <w:lvlJc w:val="left"/>
      <w:pPr>
        <w:ind w:left="360" w:hanging="360"/>
      </w:pPr>
      <w:rPr>
        <w:rFonts w:ascii="Arial" w:hAnsi="Arial"/>
        <w:b w:val="0"/>
        <w:i w:val="0"/>
        <w:caps w:val="0"/>
        <w:strike w:val="0"/>
        <w:dstrike w:val="0"/>
        <w:vanish w:val="0"/>
        <w:color w:val="BD2027"/>
        <w:position w:val="0"/>
        <w:sz w:val="36"/>
        <w:u w:val="none"/>
        <w:vertAlign w:val="baseline"/>
      </w:rPr>
    </w:lvl>
    <w:lvl w:ilvl="1">
      <w:start w:val="1"/>
      <w:numFmt w:val="decimal"/>
      <w:lvlText w:val="%1.%2"/>
      <w:lvlJc w:val="left"/>
      <w:pPr>
        <w:ind w:left="227" w:hanging="227"/>
      </w:pPr>
      <w:rPr>
        <w:rFonts w:ascii="Arial" w:hAnsi="Arial"/>
        <w:b/>
        <w:i w:val="0"/>
        <w:caps w:val="0"/>
        <w:strike w:val="0"/>
        <w:dstrike w:val="0"/>
        <w:vanish w:val="0"/>
        <w:color w:val="BD2027"/>
        <w:position w:val="0"/>
        <w:sz w:val="22"/>
        <w:u w:val="none"/>
        <w:vertAlign w:val="baseline"/>
      </w:rPr>
    </w:lvl>
    <w:lvl w:ilvl="2">
      <w:start w:val="1"/>
      <w:numFmt w:val="none"/>
      <w:lvlText w:val="%3"/>
      <w:lvlJc w:val="left"/>
      <w:rPr>
        <w:b w:val="0"/>
        <w:i w:val="0"/>
        <w:sz w:val="16"/>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262476A"/>
    <w:multiLevelType w:val="hybridMultilevel"/>
    <w:tmpl w:val="0002C5F2"/>
    <w:lvl w:ilvl="0" w:tplc="6100A52E">
      <w:start w:val="1"/>
      <w:numFmt w:val="bullet"/>
      <w:lvlText w:val="-"/>
      <w:lvlJc w:val="left"/>
      <w:pPr>
        <w:ind w:left="1080" w:hanging="360"/>
      </w:pPr>
      <w:rPr>
        <w:rFonts w:ascii="Calibri" w:hAnsi="Calibr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87265E7"/>
    <w:multiLevelType w:val="hybridMultilevel"/>
    <w:tmpl w:val="50A89826"/>
    <w:lvl w:ilvl="0" w:tplc="6562F934">
      <w:start w:val="1"/>
      <w:numFmt w:val="bullet"/>
      <w:lvlText w:val=""/>
      <w:lvlJc w:val="left"/>
      <w:pPr>
        <w:ind w:left="720" w:hanging="360"/>
      </w:pPr>
      <w:rPr>
        <w:rFonts w:ascii="Symbol" w:hAnsi="Symbol" w:hint="default"/>
        <w:color w:val="BD202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7F55CE"/>
    <w:multiLevelType w:val="hybridMultilevel"/>
    <w:tmpl w:val="DF9AA938"/>
    <w:lvl w:ilvl="0" w:tplc="AF98D666">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A9364E2"/>
    <w:multiLevelType w:val="hybridMultilevel"/>
    <w:tmpl w:val="C204A690"/>
    <w:lvl w:ilvl="0" w:tplc="7AD4774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8641C2"/>
    <w:multiLevelType w:val="hybridMultilevel"/>
    <w:tmpl w:val="E5E40E04"/>
    <w:lvl w:ilvl="0" w:tplc="1A0480C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D27440"/>
    <w:multiLevelType w:val="hybridMultilevel"/>
    <w:tmpl w:val="43A68F66"/>
    <w:lvl w:ilvl="0" w:tplc="55DAFB0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18DE6D1E">
      <w:start w:val="1"/>
      <w:numFmt w:val="bullet"/>
      <w:lvlText w:val=""/>
      <w:lvlJc w:val="left"/>
      <w:pPr>
        <w:tabs>
          <w:tab w:val="num" w:pos="2160"/>
        </w:tabs>
        <w:ind w:left="2160" w:hanging="360"/>
      </w:pPr>
      <w:rPr>
        <w:rFonts w:ascii="Wingdings" w:hAnsi="Wingdings" w:hint="default"/>
      </w:rPr>
    </w:lvl>
    <w:lvl w:ilvl="3" w:tplc="A4643A26" w:tentative="1">
      <w:start w:val="1"/>
      <w:numFmt w:val="bullet"/>
      <w:lvlText w:val=""/>
      <w:lvlJc w:val="left"/>
      <w:pPr>
        <w:tabs>
          <w:tab w:val="num" w:pos="2880"/>
        </w:tabs>
        <w:ind w:left="2880" w:hanging="360"/>
      </w:pPr>
      <w:rPr>
        <w:rFonts w:ascii="Wingdings" w:hAnsi="Wingdings" w:hint="default"/>
      </w:rPr>
    </w:lvl>
    <w:lvl w:ilvl="4" w:tplc="131C5732" w:tentative="1">
      <w:start w:val="1"/>
      <w:numFmt w:val="bullet"/>
      <w:lvlText w:val=""/>
      <w:lvlJc w:val="left"/>
      <w:pPr>
        <w:tabs>
          <w:tab w:val="num" w:pos="3600"/>
        </w:tabs>
        <w:ind w:left="3600" w:hanging="360"/>
      </w:pPr>
      <w:rPr>
        <w:rFonts w:ascii="Wingdings" w:hAnsi="Wingdings" w:hint="default"/>
      </w:rPr>
    </w:lvl>
    <w:lvl w:ilvl="5" w:tplc="75860C72" w:tentative="1">
      <w:start w:val="1"/>
      <w:numFmt w:val="bullet"/>
      <w:lvlText w:val=""/>
      <w:lvlJc w:val="left"/>
      <w:pPr>
        <w:tabs>
          <w:tab w:val="num" w:pos="4320"/>
        </w:tabs>
        <w:ind w:left="4320" w:hanging="360"/>
      </w:pPr>
      <w:rPr>
        <w:rFonts w:ascii="Wingdings" w:hAnsi="Wingdings" w:hint="default"/>
      </w:rPr>
    </w:lvl>
    <w:lvl w:ilvl="6" w:tplc="E780A4C4" w:tentative="1">
      <w:start w:val="1"/>
      <w:numFmt w:val="bullet"/>
      <w:lvlText w:val=""/>
      <w:lvlJc w:val="left"/>
      <w:pPr>
        <w:tabs>
          <w:tab w:val="num" w:pos="5040"/>
        </w:tabs>
        <w:ind w:left="5040" w:hanging="360"/>
      </w:pPr>
      <w:rPr>
        <w:rFonts w:ascii="Wingdings" w:hAnsi="Wingdings" w:hint="default"/>
      </w:rPr>
    </w:lvl>
    <w:lvl w:ilvl="7" w:tplc="96442504" w:tentative="1">
      <w:start w:val="1"/>
      <w:numFmt w:val="bullet"/>
      <w:lvlText w:val=""/>
      <w:lvlJc w:val="left"/>
      <w:pPr>
        <w:tabs>
          <w:tab w:val="num" w:pos="5760"/>
        </w:tabs>
        <w:ind w:left="5760" w:hanging="360"/>
      </w:pPr>
      <w:rPr>
        <w:rFonts w:ascii="Wingdings" w:hAnsi="Wingdings" w:hint="default"/>
      </w:rPr>
    </w:lvl>
    <w:lvl w:ilvl="8" w:tplc="8A54319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87EE5"/>
    <w:multiLevelType w:val="hybridMultilevel"/>
    <w:tmpl w:val="F7BA5122"/>
    <w:lvl w:ilvl="0" w:tplc="1F86AE8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243188"/>
    <w:multiLevelType w:val="hybridMultilevel"/>
    <w:tmpl w:val="0FD49210"/>
    <w:lvl w:ilvl="0" w:tplc="AFCC99DA">
      <w:start w:val="1"/>
      <w:numFmt w:val="decimal"/>
      <w:lvlText w:val="%1."/>
      <w:lvlJc w:val="left"/>
      <w:pPr>
        <w:ind w:left="720" w:hanging="360"/>
      </w:pPr>
      <w:rPr>
        <w:rFonts w:hint="default"/>
        <w:b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57478F"/>
    <w:multiLevelType w:val="multilevel"/>
    <w:tmpl w:val="AA4EF284"/>
    <w:styleLink w:val="WWOutlineListStyle1"/>
    <w:lvl w:ilvl="0">
      <w:start w:val="1"/>
      <w:numFmt w:val="decimal"/>
      <w:lvlText w:val="%1"/>
      <w:lvlJc w:val="left"/>
      <w:pPr>
        <w:ind w:left="360" w:hanging="360"/>
      </w:pPr>
      <w:rPr>
        <w:rFonts w:ascii="Arial" w:hAnsi="Arial"/>
        <w:b w:val="0"/>
        <w:i w:val="0"/>
        <w:caps w:val="0"/>
        <w:strike w:val="0"/>
        <w:dstrike w:val="0"/>
        <w:vanish w:val="0"/>
        <w:color w:val="BD2027"/>
        <w:position w:val="0"/>
        <w:sz w:val="36"/>
        <w:u w:val="none"/>
        <w:vertAlign w:val="baseline"/>
      </w:rPr>
    </w:lvl>
    <w:lvl w:ilvl="1">
      <w:start w:val="1"/>
      <w:numFmt w:val="decimal"/>
      <w:lvlText w:val="%1.%2"/>
      <w:lvlJc w:val="left"/>
      <w:pPr>
        <w:ind w:left="227" w:hanging="227"/>
      </w:pPr>
      <w:rPr>
        <w:rFonts w:ascii="Arial" w:hAnsi="Arial"/>
        <w:b/>
        <w:i w:val="0"/>
        <w:caps w:val="0"/>
        <w:strike w:val="0"/>
        <w:dstrike w:val="0"/>
        <w:vanish w:val="0"/>
        <w:color w:val="BD2027"/>
        <w:position w:val="0"/>
        <w:sz w:val="22"/>
        <w:u w:val="none"/>
        <w:vertAlign w:val="baseline"/>
      </w:r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75E16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B582D60"/>
    <w:multiLevelType w:val="hybridMultilevel"/>
    <w:tmpl w:val="053AD3E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B5E1AFE"/>
    <w:multiLevelType w:val="hybridMultilevel"/>
    <w:tmpl w:val="766688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0A6FA3"/>
    <w:multiLevelType w:val="hybridMultilevel"/>
    <w:tmpl w:val="B100F668"/>
    <w:lvl w:ilvl="0" w:tplc="04100001">
      <w:start w:val="1"/>
      <w:numFmt w:val="bullet"/>
      <w:lvlText w:val=""/>
      <w:lvlJc w:val="left"/>
      <w:pPr>
        <w:ind w:left="720" w:hanging="360"/>
      </w:pPr>
      <w:rPr>
        <w:rFonts w:ascii="Symbol" w:hAnsi="Symbol" w:hint="default"/>
      </w:rPr>
    </w:lvl>
    <w:lvl w:ilvl="1" w:tplc="BFE41272">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4382192">
    <w:abstractNumId w:val="27"/>
  </w:num>
  <w:num w:numId="2" w16cid:durableId="619260532">
    <w:abstractNumId w:val="18"/>
  </w:num>
  <w:num w:numId="3" w16cid:durableId="1708526742">
    <w:abstractNumId w:val="13"/>
  </w:num>
  <w:num w:numId="4" w16cid:durableId="1297102521">
    <w:abstractNumId w:val="9"/>
  </w:num>
  <w:num w:numId="5" w16cid:durableId="1647707720">
    <w:abstractNumId w:val="11"/>
  </w:num>
  <w:num w:numId="6" w16cid:durableId="2051300944">
    <w:abstractNumId w:val="7"/>
  </w:num>
  <w:num w:numId="7" w16cid:durableId="1036929692">
    <w:abstractNumId w:val="16"/>
  </w:num>
  <w:num w:numId="8" w16cid:durableId="1014452947">
    <w:abstractNumId w:val="0"/>
  </w:num>
  <w:num w:numId="9" w16cid:durableId="511990217">
    <w:abstractNumId w:val="12"/>
  </w:num>
  <w:num w:numId="10" w16cid:durableId="664169399">
    <w:abstractNumId w:val="2"/>
  </w:num>
  <w:num w:numId="11" w16cid:durableId="1915629134">
    <w:abstractNumId w:val="25"/>
  </w:num>
  <w:num w:numId="12" w16cid:durableId="248197056">
    <w:abstractNumId w:val="28"/>
  </w:num>
  <w:num w:numId="13" w16cid:durableId="457139077">
    <w:abstractNumId w:val="22"/>
  </w:num>
  <w:num w:numId="14" w16cid:durableId="1112702939">
    <w:abstractNumId w:val="30"/>
  </w:num>
  <w:num w:numId="15" w16cid:durableId="1394885233">
    <w:abstractNumId w:val="17"/>
  </w:num>
  <w:num w:numId="16" w16cid:durableId="165679426">
    <w:abstractNumId w:val="1"/>
  </w:num>
  <w:num w:numId="17" w16cid:durableId="258300338">
    <w:abstractNumId w:val="20"/>
  </w:num>
  <w:num w:numId="18" w16cid:durableId="1509565128">
    <w:abstractNumId w:val="26"/>
  </w:num>
  <w:num w:numId="19" w16cid:durableId="534342859">
    <w:abstractNumId w:val="31"/>
  </w:num>
  <w:num w:numId="20" w16cid:durableId="1632593593">
    <w:abstractNumId w:val="14"/>
  </w:num>
  <w:num w:numId="21" w16cid:durableId="1727757388">
    <w:abstractNumId w:val="29"/>
  </w:num>
  <w:num w:numId="22" w16cid:durableId="599488740">
    <w:abstractNumId w:val="6"/>
  </w:num>
  <w:num w:numId="23" w16cid:durableId="142746625">
    <w:abstractNumId w:val="23"/>
  </w:num>
  <w:num w:numId="24" w16cid:durableId="1867131284">
    <w:abstractNumId w:val="15"/>
  </w:num>
  <w:num w:numId="25" w16cid:durableId="72317005">
    <w:abstractNumId w:val="21"/>
  </w:num>
  <w:num w:numId="26" w16cid:durableId="1272857651">
    <w:abstractNumId w:val="3"/>
  </w:num>
  <w:num w:numId="27" w16cid:durableId="1552766715">
    <w:abstractNumId w:val="5"/>
  </w:num>
  <w:num w:numId="28" w16cid:durableId="1698458605">
    <w:abstractNumId w:val="19"/>
  </w:num>
  <w:num w:numId="29" w16cid:durableId="2005231966">
    <w:abstractNumId w:val="10"/>
  </w:num>
  <w:num w:numId="30" w16cid:durableId="1633826540">
    <w:abstractNumId w:val="8"/>
  </w:num>
  <w:num w:numId="31" w16cid:durableId="109281097">
    <w:abstractNumId w:val="24"/>
  </w:num>
  <w:num w:numId="32" w16cid:durableId="612632259">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dinali Jacopo">
    <w15:presenceInfo w15:providerId="AD" w15:userId="S::cardinal1@corp.generali.net::3be5c195-ed34-435e-a8d3-d46b889e80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08"/>
    <w:rsid w:val="00000BC5"/>
    <w:rsid w:val="000012CF"/>
    <w:rsid w:val="00001B1E"/>
    <w:rsid w:val="00001BDB"/>
    <w:rsid w:val="000022C2"/>
    <w:rsid w:val="00002596"/>
    <w:rsid w:val="000025AD"/>
    <w:rsid w:val="0000263F"/>
    <w:rsid w:val="00003887"/>
    <w:rsid w:val="00003C7F"/>
    <w:rsid w:val="0000468E"/>
    <w:rsid w:val="00004698"/>
    <w:rsid w:val="00005957"/>
    <w:rsid w:val="00005CD2"/>
    <w:rsid w:val="00005D34"/>
    <w:rsid w:val="00005E87"/>
    <w:rsid w:val="00006E61"/>
    <w:rsid w:val="0000768F"/>
    <w:rsid w:val="000100D3"/>
    <w:rsid w:val="000104B5"/>
    <w:rsid w:val="0001059A"/>
    <w:rsid w:val="000127AE"/>
    <w:rsid w:val="00012ABB"/>
    <w:rsid w:val="00013580"/>
    <w:rsid w:val="00013A79"/>
    <w:rsid w:val="0001435D"/>
    <w:rsid w:val="00014869"/>
    <w:rsid w:val="000155A8"/>
    <w:rsid w:val="000157E9"/>
    <w:rsid w:val="000157F7"/>
    <w:rsid w:val="00015941"/>
    <w:rsid w:val="000160A4"/>
    <w:rsid w:val="0001638B"/>
    <w:rsid w:val="000165FA"/>
    <w:rsid w:val="00016A72"/>
    <w:rsid w:val="0001706E"/>
    <w:rsid w:val="000205A1"/>
    <w:rsid w:val="00020BB6"/>
    <w:rsid w:val="000218AD"/>
    <w:rsid w:val="0002214B"/>
    <w:rsid w:val="000224AA"/>
    <w:rsid w:val="00022CBD"/>
    <w:rsid w:val="00022D88"/>
    <w:rsid w:val="00022EB5"/>
    <w:rsid w:val="000234C1"/>
    <w:rsid w:val="00023AA1"/>
    <w:rsid w:val="00023C47"/>
    <w:rsid w:val="00023F60"/>
    <w:rsid w:val="000240AE"/>
    <w:rsid w:val="000240D8"/>
    <w:rsid w:val="00024EDF"/>
    <w:rsid w:val="0002640F"/>
    <w:rsid w:val="00026838"/>
    <w:rsid w:val="00027E04"/>
    <w:rsid w:val="000311E6"/>
    <w:rsid w:val="00031302"/>
    <w:rsid w:val="00031381"/>
    <w:rsid w:val="0003141B"/>
    <w:rsid w:val="00031E9F"/>
    <w:rsid w:val="000339B1"/>
    <w:rsid w:val="00033F6A"/>
    <w:rsid w:val="000341B0"/>
    <w:rsid w:val="0003476D"/>
    <w:rsid w:val="00034A70"/>
    <w:rsid w:val="00034D6D"/>
    <w:rsid w:val="00035995"/>
    <w:rsid w:val="0003617F"/>
    <w:rsid w:val="0003632C"/>
    <w:rsid w:val="00036605"/>
    <w:rsid w:val="0003699E"/>
    <w:rsid w:val="00036FEF"/>
    <w:rsid w:val="0003760C"/>
    <w:rsid w:val="000377C5"/>
    <w:rsid w:val="000403F5"/>
    <w:rsid w:val="000408D5"/>
    <w:rsid w:val="000408D8"/>
    <w:rsid w:val="00040A36"/>
    <w:rsid w:val="00040D7D"/>
    <w:rsid w:val="00040E26"/>
    <w:rsid w:val="00041C21"/>
    <w:rsid w:val="00043B06"/>
    <w:rsid w:val="000444F3"/>
    <w:rsid w:val="000451DF"/>
    <w:rsid w:val="000454DC"/>
    <w:rsid w:val="00045F76"/>
    <w:rsid w:val="0004682F"/>
    <w:rsid w:val="00046CE4"/>
    <w:rsid w:val="00047064"/>
    <w:rsid w:val="000474EF"/>
    <w:rsid w:val="00047EEA"/>
    <w:rsid w:val="00050CC0"/>
    <w:rsid w:val="000517F6"/>
    <w:rsid w:val="00051C78"/>
    <w:rsid w:val="00051EAE"/>
    <w:rsid w:val="000520A0"/>
    <w:rsid w:val="000524A7"/>
    <w:rsid w:val="00052A32"/>
    <w:rsid w:val="00053045"/>
    <w:rsid w:val="000554FE"/>
    <w:rsid w:val="000556E7"/>
    <w:rsid w:val="000558F2"/>
    <w:rsid w:val="00057230"/>
    <w:rsid w:val="000572E2"/>
    <w:rsid w:val="000574A1"/>
    <w:rsid w:val="00057525"/>
    <w:rsid w:val="0006097D"/>
    <w:rsid w:val="0006097F"/>
    <w:rsid w:val="00060A95"/>
    <w:rsid w:val="000612DE"/>
    <w:rsid w:val="000614A2"/>
    <w:rsid w:val="0006160D"/>
    <w:rsid w:val="000616BF"/>
    <w:rsid w:val="00061740"/>
    <w:rsid w:val="00061815"/>
    <w:rsid w:val="0006181F"/>
    <w:rsid w:val="00061BCB"/>
    <w:rsid w:val="00061D03"/>
    <w:rsid w:val="00061DF4"/>
    <w:rsid w:val="00062675"/>
    <w:rsid w:val="00062D74"/>
    <w:rsid w:val="00063D5A"/>
    <w:rsid w:val="0006405B"/>
    <w:rsid w:val="00064846"/>
    <w:rsid w:val="00064CC0"/>
    <w:rsid w:val="000656B1"/>
    <w:rsid w:val="00065920"/>
    <w:rsid w:val="00066528"/>
    <w:rsid w:val="0006660A"/>
    <w:rsid w:val="0006696A"/>
    <w:rsid w:val="00067525"/>
    <w:rsid w:val="000678EB"/>
    <w:rsid w:val="000704D3"/>
    <w:rsid w:val="00071588"/>
    <w:rsid w:val="000716D7"/>
    <w:rsid w:val="00071EC2"/>
    <w:rsid w:val="000724E4"/>
    <w:rsid w:val="00072C40"/>
    <w:rsid w:val="00072F01"/>
    <w:rsid w:val="00073BC0"/>
    <w:rsid w:val="00074487"/>
    <w:rsid w:val="00074E43"/>
    <w:rsid w:val="00074F11"/>
    <w:rsid w:val="0007605A"/>
    <w:rsid w:val="000765A1"/>
    <w:rsid w:val="00077100"/>
    <w:rsid w:val="000771D7"/>
    <w:rsid w:val="00077534"/>
    <w:rsid w:val="0007783D"/>
    <w:rsid w:val="00077D92"/>
    <w:rsid w:val="000800F1"/>
    <w:rsid w:val="00080227"/>
    <w:rsid w:val="000802B6"/>
    <w:rsid w:val="000802E6"/>
    <w:rsid w:val="00080465"/>
    <w:rsid w:val="00081716"/>
    <w:rsid w:val="00082F72"/>
    <w:rsid w:val="00083280"/>
    <w:rsid w:val="00083584"/>
    <w:rsid w:val="0008360B"/>
    <w:rsid w:val="00084050"/>
    <w:rsid w:val="000840AE"/>
    <w:rsid w:val="000844A4"/>
    <w:rsid w:val="000844C5"/>
    <w:rsid w:val="00084A3E"/>
    <w:rsid w:val="00084B5B"/>
    <w:rsid w:val="00084D27"/>
    <w:rsid w:val="00085672"/>
    <w:rsid w:val="000856DD"/>
    <w:rsid w:val="00085CE0"/>
    <w:rsid w:val="00086033"/>
    <w:rsid w:val="000868A6"/>
    <w:rsid w:val="00087C56"/>
    <w:rsid w:val="00087CDE"/>
    <w:rsid w:val="0009111D"/>
    <w:rsid w:val="00091273"/>
    <w:rsid w:val="00091EA2"/>
    <w:rsid w:val="000923A6"/>
    <w:rsid w:val="0009312B"/>
    <w:rsid w:val="00093561"/>
    <w:rsid w:val="00093BF4"/>
    <w:rsid w:val="00093C4D"/>
    <w:rsid w:val="0009431F"/>
    <w:rsid w:val="0009494D"/>
    <w:rsid w:val="00094AF7"/>
    <w:rsid w:val="00094CC4"/>
    <w:rsid w:val="0009541B"/>
    <w:rsid w:val="00095983"/>
    <w:rsid w:val="0009692F"/>
    <w:rsid w:val="00097426"/>
    <w:rsid w:val="0009748D"/>
    <w:rsid w:val="00097E9F"/>
    <w:rsid w:val="000A024B"/>
    <w:rsid w:val="000A0953"/>
    <w:rsid w:val="000A0AA6"/>
    <w:rsid w:val="000A0B2A"/>
    <w:rsid w:val="000A0FAA"/>
    <w:rsid w:val="000A1989"/>
    <w:rsid w:val="000A1D34"/>
    <w:rsid w:val="000A231D"/>
    <w:rsid w:val="000A2399"/>
    <w:rsid w:val="000A267B"/>
    <w:rsid w:val="000A2E1D"/>
    <w:rsid w:val="000A31C1"/>
    <w:rsid w:val="000A31F8"/>
    <w:rsid w:val="000A33C3"/>
    <w:rsid w:val="000A36BF"/>
    <w:rsid w:val="000A36F9"/>
    <w:rsid w:val="000A38B6"/>
    <w:rsid w:val="000A38CF"/>
    <w:rsid w:val="000A3944"/>
    <w:rsid w:val="000A499D"/>
    <w:rsid w:val="000A49B3"/>
    <w:rsid w:val="000A4AD8"/>
    <w:rsid w:val="000A56FD"/>
    <w:rsid w:val="000A5715"/>
    <w:rsid w:val="000A5F71"/>
    <w:rsid w:val="000A65AB"/>
    <w:rsid w:val="000A6C93"/>
    <w:rsid w:val="000A6E81"/>
    <w:rsid w:val="000A6F7D"/>
    <w:rsid w:val="000A73CC"/>
    <w:rsid w:val="000A7878"/>
    <w:rsid w:val="000A78F3"/>
    <w:rsid w:val="000B05B5"/>
    <w:rsid w:val="000B0CD7"/>
    <w:rsid w:val="000B0E09"/>
    <w:rsid w:val="000B0E1D"/>
    <w:rsid w:val="000B3409"/>
    <w:rsid w:val="000B38B0"/>
    <w:rsid w:val="000B4160"/>
    <w:rsid w:val="000B5632"/>
    <w:rsid w:val="000B56E3"/>
    <w:rsid w:val="000B5E9D"/>
    <w:rsid w:val="000B6448"/>
    <w:rsid w:val="000B654A"/>
    <w:rsid w:val="000B6C12"/>
    <w:rsid w:val="000B7200"/>
    <w:rsid w:val="000B79E2"/>
    <w:rsid w:val="000B7D84"/>
    <w:rsid w:val="000C0020"/>
    <w:rsid w:val="000C005E"/>
    <w:rsid w:val="000C0517"/>
    <w:rsid w:val="000C1E7B"/>
    <w:rsid w:val="000C2645"/>
    <w:rsid w:val="000C27DB"/>
    <w:rsid w:val="000C2A1C"/>
    <w:rsid w:val="000C2ACB"/>
    <w:rsid w:val="000C3563"/>
    <w:rsid w:val="000C3D6F"/>
    <w:rsid w:val="000C3D8F"/>
    <w:rsid w:val="000C3DD1"/>
    <w:rsid w:val="000C418A"/>
    <w:rsid w:val="000C41FB"/>
    <w:rsid w:val="000C428C"/>
    <w:rsid w:val="000C442B"/>
    <w:rsid w:val="000C4A31"/>
    <w:rsid w:val="000C5364"/>
    <w:rsid w:val="000C5E89"/>
    <w:rsid w:val="000C5F85"/>
    <w:rsid w:val="000C6222"/>
    <w:rsid w:val="000C7311"/>
    <w:rsid w:val="000C7664"/>
    <w:rsid w:val="000C76D9"/>
    <w:rsid w:val="000C77AD"/>
    <w:rsid w:val="000C7B95"/>
    <w:rsid w:val="000C7FD2"/>
    <w:rsid w:val="000D1BC2"/>
    <w:rsid w:val="000D245F"/>
    <w:rsid w:val="000D2CCB"/>
    <w:rsid w:val="000D3481"/>
    <w:rsid w:val="000D3C00"/>
    <w:rsid w:val="000D41D3"/>
    <w:rsid w:val="000D50F9"/>
    <w:rsid w:val="000D5CA1"/>
    <w:rsid w:val="000D635D"/>
    <w:rsid w:val="000D6EF3"/>
    <w:rsid w:val="000D701B"/>
    <w:rsid w:val="000D7406"/>
    <w:rsid w:val="000D78F5"/>
    <w:rsid w:val="000E05B0"/>
    <w:rsid w:val="000E0991"/>
    <w:rsid w:val="000E10E5"/>
    <w:rsid w:val="000E125E"/>
    <w:rsid w:val="000E14EC"/>
    <w:rsid w:val="000E15A7"/>
    <w:rsid w:val="000E179D"/>
    <w:rsid w:val="000E1EF8"/>
    <w:rsid w:val="000E1F67"/>
    <w:rsid w:val="000E2796"/>
    <w:rsid w:val="000E2FDA"/>
    <w:rsid w:val="000E301D"/>
    <w:rsid w:val="000E3A0B"/>
    <w:rsid w:val="000E543E"/>
    <w:rsid w:val="000E57C1"/>
    <w:rsid w:val="000E588D"/>
    <w:rsid w:val="000E58CC"/>
    <w:rsid w:val="000E6444"/>
    <w:rsid w:val="000E67C9"/>
    <w:rsid w:val="000E6D44"/>
    <w:rsid w:val="000E7085"/>
    <w:rsid w:val="000E70F0"/>
    <w:rsid w:val="000E792A"/>
    <w:rsid w:val="000E7D9A"/>
    <w:rsid w:val="000E7E91"/>
    <w:rsid w:val="000F02F1"/>
    <w:rsid w:val="000F055D"/>
    <w:rsid w:val="000F0697"/>
    <w:rsid w:val="000F0F6C"/>
    <w:rsid w:val="000F11AE"/>
    <w:rsid w:val="000F238A"/>
    <w:rsid w:val="000F2B0C"/>
    <w:rsid w:val="000F408A"/>
    <w:rsid w:val="000F468C"/>
    <w:rsid w:val="000F47E1"/>
    <w:rsid w:val="000F4B8D"/>
    <w:rsid w:val="000F4C09"/>
    <w:rsid w:val="000F5289"/>
    <w:rsid w:val="000F58EF"/>
    <w:rsid w:val="000F5BF8"/>
    <w:rsid w:val="000F6188"/>
    <w:rsid w:val="000F6337"/>
    <w:rsid w:val="000F6D8A"/>
    <w:rsid w:val="00100936"/>
    <w:rsid w:val="00100AFD"/>
    <w:rsid w:val="00100C6A"/>
    <w:rsid w:val="0010140B"/>
    <w:rsid w:val="0010235F"/>
    <w:rsid w:val="00102E1E"/>
    <w:rsid w:val="00103CFA"/>
    <w:rsid w:val="00104101"/>
    <w:rsid w:val="00104198"/>
    <w:rsid w:val="00104712"/>
    <w:rsid w:val="00105568"/>
    <w:rsid w:val="001057B2"/>
    <w:rsid w:val="0010639A"/>
    <w:rsid w:val="0010694C"/>
    <w:rsid w:val="001069EE"/>
    <w:rsid w:val="00107466"/>
    <w:rsid w:val="00107731"/>
    <w:rsid w:val="001101F6"/>
    <w:rsid w:val="0011030B"/>
    <w:rsid w:val="00110459"/>
    <w:rsid w:val="0011081B"/>
    <w:rsid w:val="00111121"/>
    <w:rsid w:val="00111174"/>
    <w:rsid w:val="00111821"/>
    <w:rsid w:val="00111C3C"/>
    <w:rsid w:val="00111F84"/>
    <w:rsid w:val="0011207A"/>
    <w:rsid w:val="001125B2"/>
    <w:rsid w:val="001129FE"/>
    <w:rsid w:val="0011312B"/>
    <w:rsid w:val="00113986"/>
    <w:rsid w:val="00113AA8"/>
    <w:rsid w:val="00113DE8"/>
    <w:rsid w:val="001141AF"/>
    <w:rsid w:val="001147C3"/>
    <w:rsid w:val="00115039"/>
    <w:rsid w:val="0011593E"/>
    <w:rsid w:val="001159A6"/>
    <w:rsid w:val="00115E4D"/>
    <w:rsid w:val="00116122"/>
    <w:rsid w:val="0011621B"/>
    <w:rsid w:val="0011672C"/>
    <w:rsid w:val="0011732E"/>
    <w:rsid w:val="001175FA"/>
    <w:rsid w:val="00117A10"/>
    <w:rsid w:val="00117D09"/>
    <w:rsid w:val="00117ED2"/>
    <w:rsid w:val="00120814"/>
    <w:rsid w:val="001220FB"/>
    <w:rsid w:val="00122CDD"/>
    <w:rsid w:val="00122D3C"/>
    <w:rsid w:val="001230C3"/>
    <w:rsid w:val="00123F4B"/>
    <w:rsid w:val="0012475B"/>
    <w:rsid w:val="00124A96"/>
    <w:rsid w:val="0012582D"/>
    <w:rsid w:val="001258AF"/>
    <w:rsid w:val="0012632A"/>
    <w:rsid w:val="001271A5"/>
    <w:rsid w:val="00127605"/>
    <w:rsid w:val="001305A5"/>
    <w:rsid w:val="0013062E"/>
    <w:rsid w:val="00130BD4"/>
    <w:rsid w:val="00130E50"/>
    <w:rsid w:val="00131581"/>
    <w:rsid w:val="001318BA"/>
    <w:rsid w:val="001327E0"/>
    <w:rsid w:val="00132E4F"/>
    <w:rsid w:val="00133158"/>
    <w:rsid w:val="00134084"/>
    <w:rsid w:val="0013409E"/>
    <w:rsid w:val="0013470B"/>
    <w:rsid w:val="00135699"/>
    <w:rsid w:val="001357AF"/>
    <w:rsid w:val="00135C35"/>
    <w:rsid w:val="0013615A"/>
    <w:rsid w:val="00136A8E"/>
    <w:rsid w:val="00136B62"/>
    <w:rsid w:val="00136EFE"/>
    <w:rsid w:val="00137612"/>
    <w:rsid w:val="001402FD"/>
    <w:rsid w:val="00140A00"/>
    <w:rsid w:val="00140E3F"/>
    <w:rsid w:val="00140ECE"/>
    <w:rsid w:val="00141005"/>
    <w:rsid w:val="0014174E"/>
    <w:rsid w:val="0014185E"/>
    <w:rsid w:val="00141ABE"/>
    <w:rsid w:val="00141C7F"/>
    <w:rsid w:val="00141C9F"/>
    <w:rsid w:val="001420A9"/>
    <w:rsid w:val="0014267E"/>
    <w:rsid w:val="00142A45"/>
    <w:rsid w:val="001435A7"/>
    <w:rsid w:val="00143810"/>
    <w:rsid w:val="0014446B"/>
    <w:rsid w:val="001445AF"/>
    <w:rsid w:val="001446F1"/>
    <w:rsid w:val="0014487F"/>
    <w:rsid w:val="00144B87"/>
    <w:rsid w:val="001450C7"/>
    <w:rsid w:val="001453BD"/>
    <w:rsid w:val="00145A8D"/>
    <w:rsid w:val="0014654F"/>
    <w:rsid w:val="00146668"/>
    <w:rsid w:val="001468C3"/>
    <w:rsid w:val="00146B10"/>
    <w:rsid w:val="00147E7C"/>
    <w:rsid w:val="00150FDB"/>
    <w:rsid w:val="001510B5"/>
    <w:rsid w:val="00151D62"/>
    <w:rsid w:val="0015241F"/>
    <w:rsid w:val="0015264A"/>
    <w:rsid w:val="001527DE"/>
    <w:rsid w:val="001529FB"/>
    <w:rsid w:val="00153198"/>
    <w:rsid w:val="00153449"/>
    <w:rsid w:val="0015349C"/>
    <w:rsid w:val="00153658"/>
    <w:rsid w:val="0015467A"/>
    <w:rsid w:val="00154BA2"/>
    <w:rsid w:val="00155913"/>
    <w:rsid w:val="001563F2"/>
    <w:rsid w:val="00157467"/>
    <w:rsid w:val="00157630"/>
    <w:rsid w:val="00157798"/>
    <w:rsid w:val="00157A7C"/>
    <w:rsid w:val="00157A95"/>
    <w:rsid w:val="00157B6F"/>
    <w:rsid w:val="00157D40"/>
    <w:rsid w:val="00157D73"/>
    <w:rsid w:val="0016020C"/>
    <w:rsid w:val="00161226"/>
    <w:rsid w:val="0016197E"/>
    <w:rsid w:val="0016219E"/>
    <w:rsid w:val="0016237E"/>
    <w:rsid w:val="001629BE"/>
    <w:rsid w:val="001634E8"/>
    <w:rsid w:val="00163CA9"/>
    <w:rsid w:val="00163D1E"/>
    <w:rsid w:val="00165025"/>
    <w:rsid w:val="00166409"/>
    <w:rsid w:val="001666D2"/>
    <w:rsid w:val="00166B75"/>
    <w:rsid w:val="001671D2"/>
    <w:rsid w:val="00167F52"/>
    <w:rsid w:val="00170231"/>
    <w:rsid w:val="00170582"/>
    <w:rsid w:val="00170647"/>
    <w:rsid w:val="00170B1A"/>
    <w:rsid w:val="001726A0"/>
    <w:rsid w:val="0017291A"/>
    <w:rsid w:val="00172C7B"/>
    <w:rsid w:val="00172D8B"/>
    <w:rsid w:val="00173362"/>
    <w:rsid w:val="00173C05"/>
    <w:rsid w:val="00174138"/>
    <w:rsid w:val="0017449B"/>
    <w:rsid w:val="0017488F"/>
    <w:rsid w:val="001757D1"/>
    <w:rsid w:val="0017613D"/>
    <w:rsid w:val="00176AC7"/>
    <w:rsid w:val="00176BB8"/>
    <w:rsid w:val="00180600"/>
    <w:rsid w:val="00180BFE"/>
    <w:rsid w:val="00180E68"/>
    <w:rsid w:val="0018108F"/>
    <w:rsid w:val="00181B83"/>
    <w:rsid w:val="00181B85"/>
    <w:rsid w:val="00182159"/>
    <w:rsid w:val="00183303"/>
    <w:rsid w:val="00183A2A"/>
    <w:rsid w:val="001842F8"/>
    <w:rsid w:val="00184719"/>
    <w:rsid w:val="00184F0D"/>
    <w:rsid w:val="001852F9"/>
    <w:rsid w:val="00185625"/>
    <w:rsid w:val="00185A34"/>
    <w:rsid w:val="00185AF2"/>
    <w:rsid w:val="00185CEB"/>
    <w:rsid w:val="00186F4F"/>
    <w:rsid w:val="00187568"/>
    <w:rsid w:val="00187B40"/>
    <w:rsid w:val="00190015"/>
    <w:rsid w:val="001906DC"/>
    <w:rsid w:val="00190FDF"/>
    <w:rsid w:val="001912AA"/>
    <w:rsid w:val="001919F9"/>
    <w:rsid w:val="00191A00"/>
    <w:rsid w:val="00192295"/>
    <w:rsid w:val="00192555"/>
    <w:rsid w:val="0019264B"/>
    <w:rsid w:val="001927B0"/>
    <w:rsid w:val="00192E3C"/>
    <w:rsid w:val="00192EAF"/>
    <w:rsid w:val="0019316E"/>
    <w:rsid w:val="001935A7"/>
    <w:rsid w:val="0019391F"/>
    <w:rsid w:val="00193D59"/>
    <w:rsid w:val="00194CF8"/>
    <w:rsid w:val="001956C5"/>
    <w:rsid w:val="001960B1"/>
    <w:rsid w:val="00196445"/>
    <w:rsid w:val="0019666D"/>
    <w:rsid w:val="001966B8"/>
    <w:rsid w:val="001970E5"/>
    <w:rsid w:val="001979E1"/>
    <w:rsid w:val="001A044C"/>
    <w:rsid w:val="001A0A24"/>
    <w:rsid w:val="001A161F"/>
    <w:rsid w:val="001A1793"/>
    <w:rsid w:val="001A243E"/>
    <w:rsid w:val="001A2D21"/>
    <w:rsid w:val="001A2D94"/>
    <w:rsid w:val="001A33E5"/>
    <w:rsid w:val="001A37B2"/>
    <w:rsid w:val="001A3C99"/>
    <w:rsid w:val="001A454E"/>
    <w:rsid w:val="001A6454"/>
    <w:rsid w:val="001A68A4"/>
    <w:rsid w:val="001A6C91"/>
    <w:rsid w:val="001A6EC7"/>
    <w:rsid w:val="001A6FA3"/>
    <w:rsid w:val="001A6FDD"/>
    <w:rsid w:val="001A6FEF"/>
    <w:rsid w:val="001A6FF0"/>
    <w:rsid w:val="001A71E9"/>
    <w:rsid w:val="001A7A0C"/>
    <w:rsid w:val="001B087E"/>
    <w:rsid w:val="001B08CE"/>
    <w:rsid w:val="001B0CA7"/>
    <w:rsid w:val="001B0D0C"/>
    <w:rsid w:val="001B0E4C"/>
    <w:rsid w:val="001B11F6"/>
    <w:rsid w:val="001B14B2"/>
    <w:rsid w:val="001B1938"/>
    <w:rsid w:val="001B19E6"/>
    <w:rsid w:val="001B1AF2"/>
    <w:rsid w:val="001B1B1B"/>
    <w:rsid w:val="001B1D9F"/>
    <w:rsid w:val="001B2554"/>
    <w:rsid w:val="001B2995"/>
    <w:rsid w:val="001B2BEB"/>
    <w:rsid w:val="001B300B"/>
    <w:rsid w:val="001B5A54"/>
    <w:rsid w:val="001B6099"/>
    <w:rsid w:val="001B6102"/>
    <w:rsid w:val="001B62BA"/>
    <w:rsid w:val="001B6631"/>
    <w:rsid w:val="001B7959"/>
    <w:rsid w:val="001C0812"/>
    <w:rsid w:val="001C11DD"/>
    <w:rsid w:val="001C1223"/>
    <w:rsid w:val="001C1488"/>
    <w:rsid w:val="001C17A8"/>
    <w:rsid w:val="001C1825"/>
    <w:rsid w:val="001C191C"/>
    <w:rsid w:val="001C1BAE"/>
    <w:rsid w:val="001C210B"/>
    <w:rsid w:val="001C3042"/>
    <w:rsid w:val="001C35D8"/>
    <w:rsid w:val="001C376C"/>
    <w:rsid w:val="001C3A74"/>
    <w:rsid w:val="001C3E4A"/>
    <w:rsid w:val="001C5BC8"/>
    <w:rsid w:val="001C6447"/>
    <w:rsid w:val="001C6886"/>
    <w:rsid w:val="001C6FDB"/>
    <w:rsid w:val="001C7019"/>
    <w:rsid w:val="001C704A"/>
    <w:rsid w:val="001C7548"/>
    <w:rsid w:val="001C7A0B"/>
    <w:rsid w:val="001D0057"/>
    <w:rsid w:val="001D0F3C"/>
    <w:rsid w:val="001D109A"/>
    <w:rsid w:val="001D1BC8"/>
    <w:rsid w:val="001D1EEA"/>
    <w:rsid w:val="001D23FB"/>
    <w:rsid w:val="001D2D6B"/>
    <w:rsid w:val="001D32EF"/>
    <w:rsid w:val="001D3853"/>
    <w:rsid w:val="001D39BA"/>
    <w:rsid w:val="001D39F3"/>
    <w:rsid w:val="001D40B9"/>
    <w:rsid w:val="001D433F"/>
    <w:rsid w:val="001D4533"/>
    <w:rsid w:val="001D4570"/>
    <w:rsid w:val="001D493F"/>
    <w:rsid w:val="001D4C8F"/>
    <w:rsid w:val="001D536D"/>
    <w:rsid w:val="001D53EA"/>
    <w:rsid w:val="001D5749"/>
    <w:rsid w:val="001D5AC4"/>
    <w:rsid w:val="001D5E6E"/>
    <w:rsid w:val="001D5FA0"/>
    <w:rsid w:val="001D64A2"/>
    <w:rsid w:val="001D6E28"/>
    <w:rsid w:val="001D744A"/>
    <w:rsid w:val="001E1A12"/>
    <w:rsid w:val="001E1F84"/>
    <w:rsid w:val="001E2717"/>
    <w:rsid w:val="001E2DD9"/>
    <w:rsid w:val="001E38D2"/>
    <w:rsid w:val="001E40F4"/>
    <w:rsid w:val="001E4BDD"/>
    <w:rsid w:val="001E4D4C"/>
    <w:rsid w:val="001E6121"/>
    <w:rsid w:val="001E636F"/>
    <w:rsid w:val="001E699B"/>
    <w:rsid w:val="001E6A19"/>
    <w:rsid w:val="001E7EC6"/>
    <w:rsid w:val="001E7F84"/>
    <w:rsid w:val="001F027A"/>
    <w:rsid w:val="001F0517"/>
    <w:rsid w:val="001F09BE"/>
    <w:rsid w:val="001F1064"/>
    <w:rsid w:val="001F124B"/>
    <w:rsid w:val="001F1E1D"/>
    <w:rsid w:val="001F1F36"/>
    <w:rsid w:val="001F208B"/>
    <w:rsid w:val="001F2262"/>
    <w:rsid w:val="001F2474"/>
    <w:rsid w:val="001F2A25"/>
    <w:rsid w:val="001F2F2A"/>
    <w:rsid w:val="001F42ED"/>
    <w:rsid w:val="001F46F0"/>
    <w:rsid w:val="001F48E4"/>
    <w:rsid w:val="001F48E6"/>
    <w:rsid w:val="001F5A83"/>
    <w:rsid w:val="001F5A8A"/>
    <w:rsid w:val="001F5A93"/>
    <w:rsid w:val="001F5E75"/>
    <w:rsid w:val="001F61AC"/>
    <w:rsid w:val="001F7361"/>
    <w:rsid w:val="001F7A1A"/>
    <w:rsid w:val="001F7F21"/>
    <w:rsid w:val="00200108"/>
    <w:rsid w:val="0020046F"/>
    <w:rsid w:val="002006C4"/>
    <w:rsid w:val="00200895"/>
    <w:rsid w:val="00200B80"/>
    <w:rsid w:val="002018F8"/>
    <w:rsid w:val="00201B58"/>
    <w:rsid w:val="00201C4D"/>
    <w:rsid w:val="00201D6F"/>
    <w:rsid w:val="00202574"/>
    <w:rsid w:val="00202A38"/>
    <w:rsid w:val="00202F8D"/>
    <w:rsid w:val="002030D2"/>
    <w:rsid w:val="002039C6"/>
    <w:rsid w:val="00203C21"/>
    <w:rsid w:val="0020456C"/>
    <w:rsid w:val="00204942"/>
    <w:rsid w:val="00204ABA"/>
    <w:rsid w:val="00204B87"/>
    <w:rsid w:val="0020546D"/>
    <w:rsid w:val="002057F3"/>
    <w:rsid w:val="00205BD1"/>
    <w:rsid w:val="002062E1"/>
    <w:rsid w:val="00206414"/>
    <w:rsid w:val="00206BCE"/>
    <w:rsid w:val="00206FA6"/>
    <w:rsid w:val="0020799E"/>
    <w:rsid w:val="002116C8"/>
    <w:rsid w:val="0021207F"/>
    <w:rsid w:val="00212462"/>
    <w:rsid w:val="00212867"/>
    <w:rsid w:val="002141F1"/>
    <w:rsid w:val="002145A8"/>
    <w:rsid w:val="00214D7B"/>
    <w:rsid w:val="00214FDD"/>
    <w:rsid w:val="002152EC"/>
    <w:rsid w:val="00215917"/>
    <w:rsid w:val="00215F34"/>
    <w:rsid w:val="002164B1"/>
    <w:rsid w:val="0021650F"/>
    <w:rsid w:val="00216719"/>
    <w:rsid w:val="00216809"/>
    <w:rsid w:val="00216FAF"/>
    <w:rsid w:val="00217253"/>
    <w:rsid w:val="00220919"/>
    <w:rsid w:val="00220989"/>
    <w:rsid w:val="00220D7D"/>
    <w:rsid w:val="00220F0B"/>
    <w:rsid w:val="002225EA"/>
    <w:rsid w:val="002237BD"/>
    <w:rsid w:val="00223F60"/>
    <w:rsid w:val="00224211"/>
    <w:rsid w:val="0022499B"/>
    <w:rsid w:val="002267D8"/>
    <w:rsid w:val="00226CD2"/>
    <w:rsid w:val="002278D6"/>
    <w:rsid w:val="00227D3D"/>
    <w:rsid w:val="00230974"/>
    <w:rsid w:val="00230B3A"/>
    <w:rsid w:val="00230EFF"/>
    <w:rsid w:val="002318C3"/>
    <w:rsid w:val="00232301"/>
    <w:rsid w:val="00232390"/>
    <w:rsid w:val="002328DA"/>
    <w:rsid w:val="002330DC"/>
    <w:rsid w:val="00233814"/>
    <w:rsid w:val="002339EF"/>
    <w:rsid w:val="00234709"/>
    <w:rsid w:val="00234B80"/>
    <w:rsid w:val="002352A1"/>
    <w:rsid w:val="002354A0"/>
    <w:rsid w:val="002363AC"/>
    <w:rsid w:val="00237F8C"/>
    <w:rsid w:val="002401A2"/>
    <w:rsid w:val="00240CB1"/>
    <w:rsid w:val="00240E67"/>
    <w:rsid w:val="002418FE"/>
    <w:rsid w:val="00241F53"/>
    <w:rsid w:val="0024209A"/>
    <w:rsid w:val="002425F6"/>
    <w:rsid w:val="00242620"/>
    <w:rsid w:val="002428AB"/>
    <w:rsid w:val="00242F0D"/>
    <w:rsid w:val="00242FDD"/>
    <w:rsid w:val="00243636"/>
    <w:rsid w:val="00243966"/>
    <w:rsid w:val="0024512D"/>
    <w:rsid w:val="0024573E"/>
    <w:rsid w:val="0024594C"/>
    <w:rsid w:val="00246377"/>
    <w:rsid w:val="00246CE1"/>
    <w:rsid w:val="002470F4"/>
    <w:rsid w:val="002474C9"/>
    <w:rsid w:val="00247655"/>
    <w:rsid w:val="002476E8"/>
    <w:rsid w:val="00247912"/>
    <w:rsid w:val="00250D82"/>
    <w:rsid w:val="00251760"/>
    <w:rsid w:val="00251912"/>
    <w:rsid w:val="0025207F"/>
    <w:rsid w:val="00252B5B"/>
    <w:rsid w:val="00253117"/>
    <w:rsid w:val="002537DB"/>
    <w:rsid w:val="00253AF8"/>
    <w:rsid w:val="00253C9A"/>
    <w:rsid w:val="002542C1"/>
    <w:rsid w:val="00254749"/>
    <w:rsid w:val="00254916"/>
    <w:rsid w:val="00254F7E"/>
    <w:rsid w:val="002562AD"/>
    <w:rsid w:val="0025746B"/>
    <w:rsid w:val="002579D2"/>
    <w:rsid w:val="00260174"/>
    <w:rsid w:val="002604E5"/>
    <w:rsid w:val="00261200"/>
    <w:rsid w:val="002619B5"/>
    <w:rsid w:val="00261CD0"/>
    <w:rsid w:val="002627A6"/>
    <w:rsid w:val="00263776"/>
    <w:rsid w:val="002639A7"/>
    <w:rsid w:val="002639CB"/>
    <w:rsid w:val="00263EB0"/>
    <w:rsid w:val="00263FAD"/>
    <w:rsid w:val="00264030"/>
    <w:rsid w:val="00264913"/>
    <w:rsid w:val="00264A78"/>
    <w:rsid w:val="00264CA4"/>
    <w:rsid w:val="00265385"/>
    <w:rsid w:val="0026543C"/>
    <w:rsid w:val="00265726"/>
    <w:rsid w:val="00265FB4"/>
    <w:rsid w:val="0026789A"/>
    <w:rsid w:val="00267E85"/>
    <w:rsid w:val="00271D33"/>
    <w:rsid w:val="002726FE"/>
    <w:rsid w:val="002736C4"/>
    <w:rsid w:val="002745EE"/>
    <w:rsid w:val="00274FE4"/>
    <w:rsid w:val="00275220"/>
    <w:rsid w:val="002752D1"/>
    <w:rsid w:val="00275881"/>
    <w:rsid w:val="0027780C"/>
    <w:rsid w:val="00277C68"/>
    <w:rsid w:val="00280060"/>
    <w:rsid w:val="002807DA"/>
    <w:rsid w:val="00280AED"/>
    <w:rsid w:val="00280E1D"/>
    <w:rsid w:val="00281597"/>
    <w:rsid w:val="00281827"/>
    <w:rsid w:val="00281E38"/>
    <w:rsid w:val="002820C4"/>
    <w:rsid w:val="00282E7F"/>
    <w:rsid w:val="00282FC6"/>
    <w:rsid w:val="002830D5"/>
    <w:rsid w:val="00283855"/>
    <w:rsid w:val="00283C41"/>
    <w:rsid w:val="0028486F"/>
    <w:rsid w:val="00284A2A"/>
    <w:rsid w:val="00284DD2"/>
    <w:rsid w:val="00285298"/>
    <w:rsid w:val="00285567"/>
    <w:rsid w:val="00285B8B"/>
    <w:rsid w:val="00286461"/>
    <w:rsid w:val="00287995"/>
    <w:rsid w:val="00287D9B"/>
    <w:rsid w:val="002909B0"/>
    <w:rsid w:val="0029215D"/>
    <w:rsid w:val="00294390"/>
    <w:rsid w:val="002947F2"/>
    <w:rsid w:val="00294A16"/>
    <w:rsid w:val="00294B79"/>
    <w:rsid w:val="00295348"/>
    <w:rsid w:val="002954A4"/>
    <w:rsid w:val="00295727"/>
    <w:rsid w:val="00295BDB"/>
    <w:rsid w:val="00295D38"/>
    <w:rsid w:val="00295EFA"/>
    <w:rsid w:val="0029636C"/>
    <w:rsid w:val="00296751"/>
    <w:rsid w:val="00296798"/>
    <w:rsid w:val="00296F0B"/>
    <w:rsid w:val="002972B1"/>
    <w:rsid w:val="00297C82"/>
    <w:rsid w:val="00297CB7"/>
    <w:rsid w:val="002A00C4"/>
    <w:rsid w:val="002A057D"/>
    <w:rsid w:val="002A076F"/>
    <w:rsid w:val="002A0A8C"/>
    <w:rsid w:val="002A1720"/>
    <w:rsid w:val="002A2400"/>
    <w:rsid w:val="002A2CB9"/>
    <w:rsid w:val="002A3501"/>
    <w:rsid w:val="002A352A"/>
    <w:rsid w:val="002A4343"/>
    <w:rsid w:val="002A4676"/>
    <w:rsid w:val="002A481B"/>
    <w:rsid w:val="002A50F8"/>
    <w:rsid w:val="002A5177"/>
    <w:rsid w:val="002A5689"/>
    <w:rsid w:val="002A6011"/>
    <w:rsid w:val="002A627B"/>
    <w:rsid w:val="002A64F0"/>
    <w:rsid w:val="002A6CB9"/>
    <w:rsid w:val="002A70F6"/>
    <w:rsid w:val="002A7390"/>
    <w:rsid w:val="002A7C27"/>
    <w:rsid w:val="002B1081"/>
    <w:rsid w:val="002B1603"/>
    <w:rsid w:val="002B16EA"/>
    <w:rsid w:val="002B24D8"/>
    <w:rsid w:val="002B2530"/>
    <w:rsid w:val="002B325E"/>
    <w:rsid w:val="002B3332"/>
    <w:rsid w:val="002B374F"/>
    <w:rsid w:val="002B3E8E"/>
    <w:rsid w:val="002B420D"/>
    <w:rsid w:val="002B482C"/>
    <w:rsid w:val="002B4B9E"/>
    <w:rsid w:val="002B5767"/>
    <w:rsid w:val="002B620E"/>
    <w:rsid w:val="002B65E6"/>
    <w:rsid w:val="002B69FE"/>
    <w:rsid w:val="002B6A37"/>
    <w:rsid w:val="002B75F1"/>
    <w:rsid w:val="002B762F"/>
    <w:rsid w:val="002B781B"/>
    <w:rsid w:val="002C0396"/>
    <w:rsid w:val="002C05F7"/>
    <w:rsid w:val="002C0744"/>
    <w:rsid w:val="002C0A47"/>
    <w:rsid w:val="002C0EA5"/>
    <w:rsid w:val="002C193C"/>
    <w:rsid w:val="002C2426"/>
    <w:rsid w:val="002C2A4B"/>
    <w:rsid w:val="002C2AA8"/>
    <w:rsid w:val="002C2DE7"/>
    <w:rsid w:val="002C38E8"/>
    <w:rsid w:val="002C3BD3"/>
    <w:rsid w:val="002C408B"/>
    <w:rsid w:val="002C42CC"/>
    <w:rsid w:val="002C442A"/>
    <w:rsid w:val="002C51D7"/>
    <w:rsid w:val="002C52A8"/>
    <w:rsid w:val="002C5866"/>
    <w:rsid w:val="002C5DB8"/>
    <w:rsid w:val="002C6000"/>
    <w:rsid w:val="002C674C"/>
    <w:rsid w:val="002C7E94"/>
    <w:rsid w:val="002D06AC"/>
    <w:rsid w:val="002D1076"/>
    <w:rsid w:val="002D10E3"/>
    <w:rsid w:val="002D146F"/>
    <w:rsid w:val="002D26FD"/>
    <w:rsid w:val="002D2818"/>
    <w:rsid w:val="002D2AEC"/>
    <w:rsid w:val="002D3E8B"/>
    <w:rsid w:val="002D448F"/>
    <w:rsid w:val="002D4CA7"/>
    <w:rsid w:val="002D56CB"/>
    <w:rsid w:val="002D6070"/>
    <w:rsid w:val="002D7BB6"/>
    <w:rsid w:val="002E06AF"/>
    <w:rsid w:val="002E0F02"/>
    <w:rsid w:val="002E18D6"/>
    <w:rsid w:val="002E2317"/>
    <w:rsid w:val="002E3D59"/>
    <w:rsid w:val="002E3E5D"/>
    <w:rsid w:val="002E41E0"/>
    <w:rsid w:val="002E52AC"/>
    <w:rsid w:val="002E5D42"/>
    <w:rsid w:val="002E6DE6"/>
    <w:rsid w:val="002E7D71"/>
    <w:rsid w:val="002E7EC3"/>
    <w:rsid w:val="002F0924"/>
    <w:rsid w:val="002F1299"/>
    <w:rsid w:val="002F1312"/>
    <w:rsid w:val="002F136E"/>
    <w:rsid w:val="002F1AA8"/>
    <w:rsid w:val="002F207C"/>
    <w:rsid w:val="002F20AB"/>
    <w:rsid w:val="002F2884"/>
    <w:rsid w:val="002F4D5F"/>
    <w:rsid w:val="002F5BD6"/>
    <w:rsid w:val="002F5D5F"/>
    <w:rsid w:val="002F6783"/>
    <w:rsid w:val="002F74FB"/>
    <w:rsid w:val="002F7F1E"/>
    <w:rsid w:val="00300461"/>
    <w:rsid w:val="00300C1E"/>
    <w:rsid w:val="00300DDD"/>
    <w:rsid w:val="0030141B"/>
    <w:rsid w:val="00301CFA"/>
    <w:rsid w:val="0030264F"/>
    <w:rsid w:val="00303318"/>
    <w:rsid w:val="003037A8"/>
    <w:rsid w:val="00303A8D"/>
    <w:rsid w:val="00304406"/>
    <w:rsid w:val="003046AF"/>
    <w:rsid w:val="00304F88"/>
    <w:rsid w:val="00305276"/>
    <w:rsid w:val="0030591B"/>
    <w:rsid w:val="00305C1C"/>
    <w:rsid w:val="00306B8A"/>
    <w:rsid w:val="00307875"/>
    <w:rsid w:val="003079E4"/>
    <w:rsid w:val="00310236"/>
    <w:rsid w:val="003106CF"/>
    <w:rsid w:val="003107B7"/>
    <w:rsid w:val="00311ACA"/>
    <w:rsid w:val="00312A87"/>
    <w:rsid w:val="00312F62"/>
    <w:rsid w:val="003131E7"/>
    <w:rsid w:val="00313C7B"/>
    <w:rsid w:val="00314063"/>
    <w:rsid w:val="00314409"/>
    <w:rsid w:val="00314AEF"/>
    <w:rsid w:val="00315123"/>
    <w:rsid w:val="00315AC2"/>
    <w:rsid w:val="00315C13"/>
    <w:rsid w:val="00315CBF"/>
    <w:rsid w:val="00315DA4"/>
    <w:rsid w:val="003162DA"/>
    <w:rsid w:val="003163DE"/>
    <w:rsid w:val="003168CB"/>
    <w:rsid w:val="00320F00"/>
    <w:rsid w:val="00321468"/>
    <w:rsid w:val="00321F29"/>
    <w:rsid w:val="00322208"/>
    <w:rsid w:val="00322580"/>
    <w:rsid w:val="003225A6"/>
    <w:rsid w:val="003225B3"/>
    <w:rsid w:val="00322A3B"/>
    <w:rsid w:val="00322C0D"/>
    <w:rsid w:val="00323065"/>
    <w:rsid w:val="00323FC3"/>
    <w:rsid w:val="00324689"/>
    <w:rsid w:val="00324884"/>
    <w:rsid w:val="00324C73"/>
    <w:rsid w:val="003256CC"/>
    <w:rsid w:val="00325776"/>
    <w:rsid w:val="00325C73"/>
    <w:rsid w:val="0032644E"/>
    <w:rsid w:val="00326762"/>
    <w:rsid w:val="00327325"/>
    <w:rsid w:val="00330582"/>
    <w:rsid w:val="00330671"/>
    <w:rsid w:val="003308F1"/>
    <w:rsid w:val="003311A7"/>
    <w:rsid w:val="00331424"/>
    <w:rsid w:val="00331CAA"/>
    <w:rsid w:val="00331F84"/>
    <w:rsid w:val="00332091"/>
    <w:rsid w:val="0033273E"/>
    <w:rsid w:val="0033310B"/>
    <w:rsid w:val="00333150"/>
    <w:rsid w:val="003331B9"/>
    <w:rsid w:val="0033351A"/>
    <w:rsid w:val="003335B9"/>
    <w:rsid w:val="00333840"/>
    <w:rsid w:val="0033424C"/>
    <w:rsid w:val="00334824"/>
    <w:rsid w:val="00335287"/>
    <w:rsid w:val="003355DB"/>
    <w:rsid w:val="003358B6"/>
    <w:rsid w:val="00336ADB"/>
    <w:rsid w:val="00336F69"/>
    <w:rsid w:val="00337D6F"/>
    <w:rsid w:val="003402AB"/>
    <w:rsid w:val="00340314"/>
    <w:rsid w:val="00340E04"/>
    <w:rsid w:val="00341049"/>
    <w:rsid w:val="00341CF0"/>
    <w:rsid w:val="00341E6B"/>
    <w:rsid w:val="00341F23"/>
    <w:rsid w:val="0034376F"/>
    <w:rsid w:val="00344BBC"/>
    <w:rsid w:val="00344CBE"/>
    <w:rsid w:val="00345162"/>
    <w:rsid w:val="00345213"/>
    <w:rsid w:val="00345460"/>
    <w:rsid w:val="00345C31"/>
    <w:rsid w:val="00345E99"/>
    <w:rsid w:val="00346380"/>
    <w:rsid w:val="0034688D"/>
    <w:rsid w:val="0034696F"/>
    <w:rsid w:val="00346AC0"/>
    <w:rsid w:val="0034736D"/>
    <w:rsid w:val="00347701"/>
    <w:rsid w:val="00347705"/>
    <w:rsid w:val="00347B48"/>
    <w:rsid w:val="00347D0F"/>
    <w:rsid w:val="00347D39"/>
    <w:rsid w:val="00347DFA"/>
    <w:rsid w:val="00347E31"/>
    <w:rsid w:val="003502DF"/>
    <w:rsid w:val="003504D7"/>
    <w:rsid w:val="0035055E"/>
    <w:rsid w:val="00350A32"/>
    <w:rsid w:val="003512F6"/>
    <w:rsid w:val="00351E40"/>
    <w:rsid w:val="00352286"/>
    <w:rsid w:val="00352368"/>
    <w:rsid w:val="003524A3"/>
    <w:rsid w:val="003524BF"/>
    <w:rsid w:val="00352AB1"/>
    <w:rsid w:val="00352D9E"/>
    <w:rsid w:val="00353DD6"/>
    <w:rsid w:val="0035421E"/>
    <w:rsid w:val="0035442B"/>
    <w:rsid w:val="003555C1"/>
    <w:rsid w:val="00356371"/>
    <w:rsid w:val="003565AA"/>
    <w:rsid w:val="003566B6"/>
    <w:rsid w:val="00356A46"/>
    <w:rsid w:val="00356BB4"/>
    <w:rsid w:val="003571AE"/>
    <w:rsid w:val="00357E37"/>
    <w:rsid w:val="0036010C"/>
    <w:rsid w:val="00360301"/>
    <w:rsid w:val="003607D9"/>
    <w:rsid w:val="00360CF6"/>
    <w:rsid w:val="00360F73"/>
    <w:rsid w:val="0036180A"/>
    <w:rsid w:val="00361C6B"/>
    <w:rsid w:val="0036291E"/>
    <w:rsid w:val="00363618"/>
    <w:rsid w:val="003638A6"/>
    <w:rsid w:val="0036393F"/>
    <w:rsid w:val="00363AC4"/>
    <w:rsid w:val="00363B58"/>
    <w:rsid w:val="003642F8"/>
    <w:rsid w:val="003647AD"/>
    <w:rsid w:val="00364AC7"/>
    <w:rsid w:val="00365CC1"/>
    <w:rsid w:val="00365CF3"/>
    <w:rsid w:val="0036647E"/>
    <w:rsid w:val="0036689E"/>
    <w:rsid w:val="00366AA5"/>
    <w:rsid w:val="003673BB"/>
    <w:rsid w:val="00367C2F"/>
    <w:rsid w:val="0037003F"/>
    <w:rsid w:val="0037022C"/>
    <w:rsid w:val="00370ADF"/>
    <w:rsid w:val="003716E2"/>
    <w:rsid w:val="00372045"/>
    <w:rsid w:val="00372C6C"/>
    <w:rsid w:val="00374769"/>
    <w:rsid w:val="003756D3"/>
    <w:rsid w:val="0037588B"/>
    <w:rsid w:val="00375FB4"/>
    <w:rsid w:val="003765A3"/>
    <w:rsid w:val="00376AEB"/>
    <w:rsid w:val="00376E6F"/>
    <w:rsid w:val="003775A4"/>
    <w:rsid w:val="003779CB"/>
    <w:rsid w:val="00377EDD"/>
    <w:rsid w:val="003800A3"/>
    <w:rsid w:val="00380879"/>
    <w:rsid w:val="00380DE0"/>
    <w:rsid w:val="003813FD"/>
    <w:rsid w:val="003817BE"/>
    <w:rsid w:val="0038232B"/>
    <w:rsid w:val="003823A3"/>
    <w:rsid w:val="00383601"/>
    <w:rsid w:val="003836DE"/>
    <w:rsid w:val="00383B9D"/>
    <w:rsid w:val="003843D3"/>
    <w:rsid w:val="00384432"/>
    <w:rsid w:val="00384528"/>
    <w:rsid w:val="003845D8"/>
    <w:rsid w:val="00384BB9"/>
    <w:rsid w:val="00385354"/>
    <w:rsid w:val="003855D3"/>
    <w:rsid w:val="00385B9A"/>
    <w:rsid w:val="00390200"/>
    <w:rsid w:val="00390FA2"/>
    <w:rsid w:val="0039103F"/>
    <w:rsid w:val="00391466"/>
    <w:rsid w:val="00391BB1"/>
    <w:rsid w:val="00393D84"/>
    <w:rsid w:val="00394632"/>
    <w:rsid w:val="00394C03"/>
    <w:rsid w:val="00394D16"/>
    <w:rsid w:val="00394DB5"/>
    <w:rsid w:val="0039535F"/>
    <w:rsid w:val="00395495"/>
    <w:rsid w:val="00395DBE"/>
    <w:rsid w:val="0039616E"/>
    <w:rsid w:val="00396220"/>
    <w:rsid w:val="003965DF"/>
    <w:rsid w:val="003968CB"/>
    <w:rsid w:val="00396CAF"/>
    <w:rsid w:val="00396E43"/>
    <w:rsid w:val="00396FE6"/>
    <w:rsid w:val="003976FA"/>
    <w:rsid w:val="00397B86"/>
    <w:rsid w:val="00397F07"/>
    <w:rsid w:val="003A05E7"/>
    <w:rsid w:val="003A092A"/>
    <w:rsid w:val="003A0D89"/>
    <w:rsid w:val="003A14A3"/>
    <w:rsid w:val="003A1604"/>
    <w:rsid w:val="003A1A6F"/>
    <w:rsid w:val="003A1BC5"/>
    <w:rsid w:val="003A271B"/>
    <w:rsid w:val="003A2826"/>
    <w:rsid w:val="003A337C"/>
    <w:rsid w:val="003A3849"/>
    <w:rsid w:val="003A4F3E"/>
    <w:rsid w:val="003A5655"/>
    <w:rsid w:val="003A5AD1"/>
    <w:rsid w:val="003A5D18"/>
    <w:rsid w:val="003A6732"/>
    <w:rsid w:val="003A73A3"/>
    <w:rsid w:val="003A755E"/>
    <w:rsid w:val="003A7604"/>
    <w:rsid w:val="003B11C3"/>
    <w:rsid w:val="003B12E7"/>
    <w:rsid w:val="003B2139"/>
    <w:rsid w:val="003B26CB"/>
    <w:rsid w:val="003B2827"/>
    <w:rsid w:val="003B2B54"/>
    <w:rsid w:val="003B34C8"/>
    <w:rsid w:val="003B359E"/>
    <w:rsid w:val="003B419E"/>
    <w:rsid w:val="003B4490"/>
    <w:rsid w:val="003B492B"/>
    <w:rsid w:val="003B4D08"/>
    <w:rsid w:val="003B576E"/>
    <w:rsid w:val="003B6099"/>
    <w:rsid w:val="003B61F8"/>
    <w:rsid w:val="003B7085"/>
    <w:rsid w:val="003B732A"/>
    <w:rsid w:val="003C0063"/>
    <w:rsid w:val="003C14FF"/>
    <w:rsid w:val="003C1A14"/>
    <w:rsid w:val="003C1A33"/>
    <w:rsid w:val="003C1E34"/>
    <w:rsid w:val="003C26DB"/>
    <w:rsid w:val="003C2B83"/>
    <w:rsid w:val="003C3924"/>
    <w:rsid w:val="003C47E6"/>
    <w:rsid w:val="003C487B"/>
    <w:rsid w:val="003C50A4"/>
    <w:rsid w:val="003C56C0"/>
    <w:rsid w:val="003C6C8B"/>
    <w:rsid w:val="003C6CCC"/>
    <w:rsid w:val="003C70AD"/>
    <w:rsid w:val="003C75EA"/>
    <w:rsid w:val="003D0E53"/>
    <w:rsid w:val="003D11C3"/>
    <w:rsid w:val="003D18B8"/>
    <w:rsid w:val="003D1AE2"/>
    <w:rsid w:val="003D2DC4"/>
    <w:rsid w:val="003D3239"/>
    <w:rsid w:val="003D3B3D"/>
    <w:rsid w:val="003D4BD4"/>
    <w:rsid w:val="003D4D2F"/>
    <w:rsid w:val="003D4FD0"/>
    <w:rsid w:val="003D5BF6"/>
    <w:rsid w:val="003D5C48"/>
    <w:rsid w:val="003D5F1F"/>
    <w:rsid w:val="003D692E"/>
    <w:rsid w:val="003D6AE0"/>
    <w:rsid w:val="003D6FEC"/>
    <w:rsid w:val="003D7026"/>
    <w:rsid w:val="003D7402"/>
    <w:rsid w:val="003D77B8"/>
    <w:rsid w:val="003D7F68"/>
    <w:rsid w:val="003E02B5"/>
    <w:rsid w:val="003E0F05"/>
    <w:rsid w:val="003E1A55"/>
    <w:rsid w:val="003E1FC9"/>
    <w:rsid w:val="003E22B2"/>
    <w:rsid w:val="003E30CE"/>
    <w:rsid w:val="003E32B5"/>
    <w:rsid w:val="003E3757"/>
    <w:rsid w:val="003E46B0"/>
    <w:rsid w:val="003E490A"/>
    <w:rsid w:val="003E4CE2"/>
    <w:rsid w:val="003E57C7"/>
    <w:rsid w:val="003E5B75"/>
    <w:rsid w:val="003E5DE7"/>
    <w:rsid w:val="003E6A5C"/>
    <w:rsid w:val="003E6A7F"/>
    <w:rsid w:val="003E735D"/>
    <w:rsid w:val="003E73F8"/>
    <w:rsid w:val="003F026B"/>
    <w:rsid w:val="003F0459"/>
    <w:rsid w:val="003F0DA3"/>
    <w:rsid w:val="003F10E8"/>
    <w:rsid w:val="003F2229"/>
    <w:rsid w:val="003F22B8"/>
    <w:rsid w:val="003F24B6"/>
    <w:rsid w:val="003F3054"/>
    <w:rsid w:val="003F3372"/>
    <w:rsid w:val="003F4A18"/>
    <w:rsid w:val="003F4C42"/>
    <w:rsid w:val="003F4C64"/>
    <w:rsid w:val="003F5355"/>
    <w:rsid w:val="003F6613"/>
    <w:rsid w:val="003F6F4E"/>
    <w:rsid w:val="003F75AD"/>
    <w:rsid w:val="003F775E"/>
    <w:rsid w:val="003F7E47"/>
    <w:rsid w:val="00400201"/>
    <w:rsid w:val="0040031D"/>
    <w:rsid w:val="0040058D"/>
    <w:rsid w:val="00400D79"/>
    <w:rsid w:val="00400F81"/>
    <w:rsid w:val="004012AF"/>
    <w:rsid w:val="004012E5"/>
    <w:rsid w:val="00401488"/>
    <w:rsid w:val="00401CBF"/>
    <w:rsid w:val="00402D14"/>
    <w:rsid w:val="00402D4D"/>
    <w:rsid w:val="0040365D"/>
    <w:rsid w:val="00403E19"/>
    <w:rsid w:val="00404699"/>
    <w:rsid w:val="00404B12"/>
    <w:rsid w:val="00404CF5"/>
    <w:rsid w:val="00404D12"/>
    <w:rsid w:val="004051D0"/>
    <w:rsid w:val="004053D4"/>
    <w:rsid w:val="004058A9"/>
    <w:rsid w:val="00405DE2"/>
    <w:rsid w:val="004061A3"/>
    <w:rsid w:val="00406583"/>
    <w:rsid w:val="00406C4D"/>
    <w:rsid w:val="0040778B"/>
    <w:rsid w:val="00407B31"/>
    <w:rsid w:val="00407CD9"/>
    <w:rsid w:val="00407ECD"/>
    <w:rsid w:val="00410FEA"/>
    <w:rsid w:val="004116AD"/>
    <w:rsid w:val="00411A23"/>
    <w:rsid w:val="00411D3C"/>
    <w:rsid w:val="00411E62"/>
    <w:rsid w:val="00411EB8"/>
    <w:rsid w:val="00412381"/>
    <w:rsid w:val="00412443"/>
    <w:rsid w:val="00413158"/>
    <w:rsid w:val="00413297"/>
    <w:rsid w:val="0041381B"/>
    <w:rsid w:val="004142ED"/>
    <w:rsid w:val="00414481"/>
    <w:rsid w:val="004145DB"/>
    <w:rsid w:val="00414867"/>
    <w:rsid w:val="004157F9"/>
    <w:rsid w:val="00415FBA"/>
    <w:rsid w:val="004165F9"/>
    <w:rsid w:val="00417CAA"/>
    <w:rsid w:val="0042032D"/>
    <w:rsid w:val="004204D7"/>
    <w:rsid w:val="00420533"/>
    <w:rsid w:val="004212F8"/>
    <w:rsid w:val="0042153E"/>
    <w:rsid w:val="00422DC7"/>
    <w:rsid w:val="00423048"/>
    <w:rsid w:val="0042326A"/>
    <w:rsid w:val="004238FE"/>
    <w:rsid w:val="00425594"/>
    <w:rsid w:val="0042617E"/>
    <w:rsid w:val="0042681D"/>
    <w:rsid w:val="0042683B"/>
    <w:rsid w:val="004268AD"/>
    <w:rsid w:val="004270E7"/>
    <w:rsid w:val="0042710A"/>
    <w:rsid w:val="00427269"/>
    <w:rsid w:val="004273A3"/>
    <w:rsid w:val="0042759F"/>
    <w:rsid w:val="00430BF2"/>
    <w:rsid w:val="004316B3"/>
    <w:rsid w:val="00432D11"/>
    <w:rsid w:val="00432F74"/>
    <w:rsid w:val="00433CBE"/>
    <w:rsid w:val="00433F1A"/>
    <w:rsid w:val="0043425A"/>
    <w:rsid w:val="004342E3"/>
    <w:rsid w:val="0043477B"/>
    <w:rsid w:val="00434F8C"/>
    <w:rsid w:val="00435220"/>
    <w:rsid w:val="00435239"/>
    <w:rsid w:val="004357E9"/>
    <w:rsid w:val="00435E05"/>
    <w:rsid w:val="00436268"/>
    <w:rsid w:val="004363CC"/>
    <w:rsid w:val="0043694D"/>
    <w:rsid w:val="00437BDA"/>
    <w:rsid w:val="00437E04"/>
    <w:rsid w:val="00440A2D"/>
    <w:rsid w:val="00440E0E"/>
    <w:rsid w:val="00441A5C"/>
    <w:rsid w:val="00441D26"/>
    <w:rsid w:val="00442E9A"/>
    <w:rsid w:val="00442F62"/>
    <w:rsid w:val="00443173"/>
    <w:rsid w:val="00443420"/>
    <w:rsid w:val="00444013"/>
    <w:rsid w:val="004444B5"/>
    <w:rsid w:val="00444538"/>
    <w:rsid w:val="0044466E"/>
    <w:rsid w:val="00444CFD"/>
    <w:rsid w:val="00445180"/>
    <w:rsid w:val="004451FD"/>
    <w:rsid w:val="0044687D"/>
    <w:rsid w:val="00446DD4"/>
    <w:rsid w:val="00446E6E"/>
    <w:rsid w:val="00447470"/>
    <w:rsid w:val="00447AFA"/>
    <w:rsid w:val="00447C03"/>
    <w:rsid w:val="0045016B"/>
    <w:rsid w:val="00450A00"/>
    <w:rsid w:val="00450DCD"/>
    <w:rsid w:val="00451303"/>
    <w:rsid w:val="00451993"/>
    <w:rsid w:val="00451C67"/>
    <w:rsid w:val="004521E8"/>
    <w:rsid w:val="00452963"/>
    <w:rsid w:val="00454374"/>
    <w:rsid w:val="004548A3"/>
    <w:rsid w:val="00455CF3"/>
    <w:rsid w:val="004561B6"/>
    <w:rsid w:val="004561F4"/>
    <w:rsid w:val="00456555"/>
    <w:rsid w:val="004565DD"/>
    <w:rsid w:val="00456CC0"/>
    <w:rsid w:val="00457023"/>
    <w:rsid w:val="00457597"/>
    <w:rsid w:val="00457AA6"/>
    <w:rsid w:val="0046096B"/>
    <w:rsid w:val="00460BFC"/>
    <w:rsid w:val="00461F2C"/>
    <w:rsid w:val="0046257E"/>
    <w:rsid w:val="00462A8F"/>
    <w:rsid w:val="004633C0"/>
    <w:rsid w:val="004638E4"/>
    <w:rsid w:val="0046398C"/>
    <w:rsid w:val="00463E09"/>
    <w:rsid w:val="0046464D"/>
    <w:rsid w:val="004646BB"/>
    <w:rsid w:val="004646E8"/>
    <w:rsid w:val="00464D71"/>
    <w:rsid w:val="0046516A"/>
    <w:rsid w:val="00465486"/>
    <w:rsid w:val="00465903"/>
    <w:rsid w:val="00465D97"/>
    <w:rsid w:val="00465E85"/>
    <w:rsid w:val="00466B61"/>
    <w:rsid w:val="00467924"/>
    <w:rsid w:val="00467A5A"/>
    <w:rsid w:val="00467CE4"/>
    <w:rsid w:val="00467D6C"/>
    <w:rsid w:val="00470561"/>
    <w:rsid w:val="004707F7"/>
    <w:rsid w:val="00470F3A"/>
    <w:rsid w:val="004715A9"/>
    <w:rsid w:val="00472307"/>
    <w:rsid w:val="00472936"/>
    <w:rsid w:val="00472B0D"/>
    <w:rsid w:val="004731AC"/>
    <w:rsid w:val="00473353"/>
    <w:rsid w:val="0047344A"/>
    <w:rsid w:val="00473D77"/>
    <w:rsid w:val="004740C9"/>
    <w:rsid w:val="004741D9"/>
    <w:rsid w:val="00474369"/>
    <w:rsid w:val="00474674"/>
    <w:rsid w:val="00475005"/>
    <w:rsid w:val="00475984"/>
    <w:rsid w:val="00476D3B"/>
    <w:rsid w:val="00477083"/>
    <w:rsid w:val="0047762A"/>
    <w:rsid w:val="00477906"/>
    <w:rsid w:val="00477C3C"/>
    <w:rsid w:val="00477DC6"/>
    <w:rsid w:val="00480594"/>
    <w:rsid w:val="00480BBE"/>
    <w:rsid w:val="00480EBF"/>
    <w:rsid w:val="00480FD2"/>
    <w:rsid w:val="00482250"/>
    <w:rsid w:val="004844C8"/>
    <w:rsid w:val="0048581C"/>
    <w:rsid w:val="004860E6"/>
    <w:rsid w:val="00486BE5"/>
    <w:rsid w:val="004872DE"/>
    <w:rsid w:val="0048734D"/>
    <w:rsid w:val="004879C8"/>
    <w:rsid w:val="004910ED"/>
    <w:rsid w:val="0049121F"/>
    <w:rsid w:val="004913E1"/>
    <w:rsid w:val="00491997"/>
    <w:rsid w:val="004919CD"/>
    <w:rsid w:val="00491A19"/>
    <w:rsid w:val="00491C03"/>
    <w:rsid w:val="00491D91"/>
    <w:rsid w:val="00491FAB"/>
    <w:rsid w:val="0049298E"/>
    <w:rsid w:val="00492C4E"/>
    <w:rsid w:val="0049316F"/>
    <w:rsid w:val="0049336A"/>
    <w:rsid w:val="00493A26"/>
    <w:rsid w:val="00495ADB"/>
    <w:rsid w:val="004964C5"/>
    <w:rsid w:val="00496617"/>
    <w:rsid w:val="00496899"/>
    <w:rsid w:val="00496A44"/>
    <w:rsid w:val="00496EA8"/>
    <w:rsid w:val="004971F3"/>
    <w:rsid w:val="004A0159"/>
    <w:rsid w:val="004A03FC"/>
    <w:rsid w:val="004A05EA"/>
    <w:rsid w:val="004A07F6"/>
    <w:rsid w:val="004A11CC"/>
    <w:rsid w:val="004A1E89"/>
    <w:rsid w:val="004A25C6"/>
    <w:rsid w:val="004A3070"/>
    <w:rsid w:val="004A3251"/>
    <w:rsid w:val="004A35CC"/>
    <w:rsid w:val="004A3A7B"/>
    <w:rsid w:val="004A3ADD"/>
    <w:rsid w:val="004A3FA4"/>
    <w:rsid w:val="004A43E0"/>
    <w:rsid w:val="004A475C"/>
    <w:rsid w:val="004A55DE"/>
    <w:rsid w:val="004A592D"/>
    <w:rsid w:val="004A5C55"/>
    <w:rsid w:val="004A5E0A"/>
    <w:rsid w:val="004A6629"/>
    <w:rsid w:val="004A67F8"/>
    <w:rsid w:val="004A696E"/>
    <w:rsid w:val="004A6C30"/>
    <w:rsid w:val="004B08C9"/>
    <w:rsid w:val="004B1F44"/>
    <w:rsid w:val="004B2429"/>
    <w:rsid w:val="004B2466"/>
    <w:rsid w:val="004B2DF8"/>
    <w:rsid w:val="004B3114"/>
    <w:rsid w:val="004B3327"/>
    <w:rsid w:val="004B335B"/>
    <w:rsid w:val="004B348A"/>
    <w:rsid w:val="004B3818"/>
    <w:rsid w:val="004B389E"/>
    <w:rsid w:val="004B39AE"/>
    <w:rsid w:val="004B5112"/>
    <w:rsid w:val="004B584B"/>
    <w:rsid w:val="004B59BA"/>
    <w:rsid w:val="004B5FAF"/>
    <w:rsid w:val="004B63A8"/>
    <w:rsid w:val="004B647C"/>
    <w:rsid w:val="004B6A53"/>
    <w:rsid w:val="004B6E25"/>
    <w:rsid w:val="004B78C3"/>
    <w:rsid w:val="004B7FA4"/>
    <w:rsid w:val="004C014A"/>
    <w:rsid w:val="004C1DCD"/>
    <w:rsid w:val="004C2C03"/>
    <w:rsid w:val="004C2F08"/>
    <w:rsid w:val="004C332E"/>
    <w:rsid w:val="004C3CF2"/>
    <w:rsid w:val="004C3CF5"/>
    <w:rsid w:val="004C4E2C"/>
    <w:rsid w:val="004C569C"/>
    <w:rsid w:val="004C5833"/>
    <w:rsid w:val="004C5AD5"/>
    <w:rsid w:val="004C5E19"/>
    <w:rsid w:val="004C620F"/>
    <w:rsid w:val="004C6723"/>
    <w:rsid w:val="004C68F7"/>
    <w:rsid w:val="004C6B93"/>
    <w:rsid w:val="004C6D6C"/>
    <w:rsid w:val="004C7A35"/>
    <w:rsid w:val="004D04F7"/>
    <w:rsid w:val="004D09F2"/>
    <w:rsid w:val="004D1B8D"/>
    <w:rsid w:val="004D1F49"/>
    <w:rsid w:val="004D2F68"/>
    <w:rsid w:val="004D4086"/>
    <w:rsid w:val="004D4CF1"/>
    <w:rsid w:val="004D4DEB"/>
    <w:rsid w:val="004D5EAA"/>
    <w:rsid w:val="004D604A"/>
    <w:rsid w:val="004D66D3"/>
    <w:rsid w:val="004D6EBA"/>
    <w:rsid w:val="004D7066"/>
    <w:rsid w:val="004D72A9"/>
    <w:rsid w:val="004D79EE"/>
    <w:rsid w:val="004E05D3"/>
    <w:rsid w:val="004E0B78"/>
    <w:rsid w:val="004E1649"/>
    <w:rsid w:val="004E18A6"/>
    <w:rsid w:val="004E213C"/>
    <w:rsid w:val="004E23F7"/>
    <w:rsid w:val="004E2DFC"/>
    <w:rsid w:val="004E3A84"/>
    <w:rsid w:val="004E3FDC"/>
    <w:rsid w:val="004E4327"/>
    <w:rsid w:val="004E4E21"/>
    <w:rsid w:val="004E55D1"/>
    <w:rsid w:val="004E5767"/>
    <w:rsid w:val="004E5D31"/>
    <w:rsid w:val="004E5FBA"/>
    <w:rsid w:val="004E604A"/>
    <w:rsid w:val="004E6FCA"/>
    <w:rsid w:val="004E7161"/>
    <w:rsid w:val="004F083F"/>
    <w:rsid w:val="004F0907"/>
    <w:rsid w:val="004F1357"/>
    <w:rsid w:val="004F1899"/>
    <w:rsid w:val="004F192B"/>
    <w:rsid w:val="004F1AF9"/>
    <w:rsid w:val="004F1E0F"/>
    <w:rsid w:val="004F1F0E"/>
    <w:rsid w:val="004F20DE"/>
    <w:rsid w:val="004F26C7"/>
    <w:rsid w:val="004F2CD0"/>
    <w:rsid w:val="004F407B"/>
    <w:rsid w:val="004F4136"/>
    <w:rsid w:val="004F49D8"/>
    <w:rsid w:val="004F4DE8"/>
    <w:rsid w:val="004F53FB"/>
    <w:rsid w:val="004F54AC"/>
    <w:rsid w:val="004F577D"/>
    <w:rsid w:val="004F5CF2"/>
    <w:rsid w:val="004F5E8C"/>
    <w:rsid w:val="004F6520"/>
    <w:rsid w:val="004F69B8"/>
    <w:rsid w:val="004F6DBD"/>
    <w:rsid w:val="004F73A6"/>
    <w:rsid w:val="004F761C"/>
    <w:rsid w:val="004F7925"/>
    <w:rsid w:val="004F7F42"/>
    <w:rsid w:val="005007DE"/>
    <w:rsid w:val="00500835"/>
    <w:rsid w:val="00500E53"/>
    <w:rsid w:val="00501767"/>
    <w:rsid w:val="00502316"/>
    <w:rsid w:val="00502B41"/>
    <w:rsid w:val="005034BB"/>
    <w:rsid w:val="005034E2"/>
    <w:rsid w:val="00503915"/>
    <w:rsid w:val="00504842"/>
    <w:rsid w:val="00504BBE"/>
    <w:rsid w:val="00504CFB"/>
    <w:rsid w:val="005053D4"/>
    <w:rsid w:val="00505501"/>
    <w:rsid w:val="00505639"/>
    <w:rsid w:val="00507076"/>
    <w:rsid w:val="00510136"/>
    <w:rsid w:val="00510CBF"/>
    <w:rsid w:val="00511A99"/>
    <w:rsid w:val="0051205C"/>
    <w:rsid w:val="005124DD"/>
    <w:rsid w:val="005131BA"/>
    <w:rsid w:val="005134EA"/>
    <w:rsid w:val="005135B4"/>
    <w:rsid w:val="005137D5"/>
    <w:rsid w:val="00513DA8"/>
    <w:rsid w:val="00514975"/>
    <w:rsid w:val="00515225"/>
    <w:rsid w:val="0051574E"/>
    <w:rsid w:val="00515C40"/>
    <w:rsid w:val="00515D45"/>
    <w:rsid w:val="0051667B"/>
    <w:rsid w:val="00516988"/>
    <w:rsid w:val="0051701E"/>
    <w:rsid w:val="0051734F"/>
    <w:rsid w:val="0051746D"/>
    <w:rsid w:val="0052043F"/>
    <w:rsid w:val="0052259A"/>
    <w:rsid w:val="005232C4"/>
    <w:rsid w:val="00523D29"/>
    <w:rsid w:val="00523E1F"/>
    <w:rsid w:val="005241E8"/>
    <w:rsid w:val="00524CA2"/>
    <w:rsid w:val="00524F0E"/>
    <w:rsid w:val="00525514"/>
    <w:rsid w:val="00525583"/>
    <w:rsid w:val="005255CF"/>
    <w:rsid w:val="0052580B"/>
    <w:rsid w:val="00525A27"/>
    <w:rsid w:val="00525C3F"/>
    <w:rsid w:val="005261B3"/>
    <w:rsid w:val="00526592"/>
    <w:rsid w:val="005276F4"/>
    <w:rsid w:val="005301E4"/>
    <w:rsid w:val="00530717"/>
    <w:rsid w:val="00530FE5"/>
    <w:rsid w:val="00532426"/>
    <w:rsid w:val="005326B7"/>
    <w:rsid w:val="00532AA5"/>
    <w:rsid w:val="00532E34"/>
    <w:rsid w:val="00533A6F"/>
    <w:rsid w:val="00533CF8"/>
    <w:rsid w:val="0053459A"/>
    <w:rsid w:val="00534759"/>
    <w:rsid w:val="0053493A"/>
    <w:rsid w:val="00534B56"/>
    <w:rsid w:val="0053508D"/>
    <w:rsid w:val="005351E4"/>
    <w:rsid w:val="005354F2"/>
    <w:rsid w:val="005359E6"/>
    <w:rsid w:val="0053617F"/>
    <w:rsid w:val="0053626D"/>
    <w:rsid w:val="005362A7"/>
    <w:rsid w:val="00537114"/>
    <w:rsid w:val="005371EA"/>
    <w:rsid w:val="00537562"/>
    <w:rsid w:val="00537C66"/>
    <w:rsid w:val="00540180"/>
    <w:rsid w:val="0054158A"/>
    <w:rsid w:val="00541D97"/>
    <w:rsid w:val="005428D7"/>
    <w:rsid w:val="00542C3E"/>
    <w:rsid w:val="00542D73"/>
    <w:rsid w:val="00542F5A"/>
    <w:rsid w:val="005431B1"/>
    <w:rsid w:val="00543A07"/>
    <w:rsid w:val="00544142"/>
    <w:rsid w:val="00544881"/>
    <w:rsid w:val="00545046"/>
    <w:rsid w:val="005454C0"/>
    <w:rsid w:val="005460CB"/>
    <w:rsid w:val="0054643E"/>
    <w:rsid w:val="00546E7F"/>
    <w:rsid w:val="00547055"/>
    <w:rsid w:val="0055104F"/>
    <w:rsid w:val="0055215C"/>
    <w:rsid w:val="005524C9"/>
    <w:rsid w:val="0055307D"/>
    <w:rsid w:val="00553B09"/>
    <w:rsid w:val="0055492F"/>
    <w:rsid w:val="00554AB5"/>
    <w:rsid w:val="00554D98"/>
    <w:rsid w:val="00554FC3"/>
    <w:rsid w:val="005563FF"/>
    <w:rsid w:val="00556E70"/>
    <w:rsid w:val="00556F2B"/>
    <w:rsid w:val="005571A8"/>
    <w:rsid w:val="005573BE"/>
    <w:rsid w:val="00557885"/>
    <w:rsid w:val="00557DD3"/>
    <w:rsid w:val="00557FD7"/>
    <w:rsid w:val="0056089A"/>
    <w:rsid w:val="005611B2"/>
    <w:rsid w:val="0056196E"/>
    <w:rsid w:val="0056198F"/>
    <w:rsid w:val="00561D70"/>
    <w:rsid w:val="00561E09"/>
    <w:rsid w:val="00561E6E"/>
    <w:rsid w:val="0056255C"/>
    <w:rsid w:val="005636ED"/>
    <w:rsid w:val="00563BAE"/>
    <w:rsid w:val="00563C13"/>
    <w:rsid w:val="005643A0"/>
    <w:rsid w:val="00564534"/>
    <w:rsid w:val="0056473E"/>
    <w:rsid w:val="00564BA9"/>
    <w:rsid w:val="005655AA"/>
    <w:rsid w:val="00565A95"/>
    <w:rsid w:val="00565C61"/>
    <w:rsid w:val="00565EE2"/>
    <w:rsid w:val="005671E0"/>
    <w:rsid w:val="00567D18"/>
    <w:rsid w:val="00571D06"/>
    <w:rsid w:val="005724F9"/>
    <w:rsid w:val="0057254F"/>
    <w:rsid w:val="005732BC"/>
    <w:rsid w:val="00573DBE"/>
    <w:rsid w:val="005746D4"/>
    <w:rsid w:val="005751F7"/>
    <w:rsid w:val="00575465"/>
    <w:rsid w:val="00576D84"/>
    <w:rsid w:val="0057759E"/>
    <w:rsid w:val="005778F2"/>
    <w:rsid w:val="005802E8"/>
    <w:rsid w:val="00580400"/>
    <w:rsid w:val="005808CB"/>
    <w:rsid w:val="00580AEE"/>
    <w:rsid w:val="00580B7A"/>
    <w:rsid w:val="00580BFC"/>
    <w:rsid w:val="00580D6C"/>
    <w:rsid w:val="00581AB9"/>
    <w:rsid w:val="00581CBA"/>
    <w:rsid w:val="00582805"/>
    <w:rsid w:val="005829E8"/>
    <w:rsid w:val="00582ADB"/>
    <w:rsid w:val="00582B40"/>
    <w:rsid w:val="0058315A"/>
    <w:rsid w:val="005834D8"/>
    <w:rsid w:val="005837AB"/>
    <w:rsid w:val="005841BD"/>
    <w:rsid w:val="00584200"/>
    <w:rsid w:val="00584CE1"/>
    <w:rsid w:val="00584DEC"/>
    <w:rsid w:val="00584E87"/>
    <w:rsid w:val="005850C2"/>
    <w:rsid w:val="005857B0"/>
    <w:rsid w:val="00586AFA"/>
    <w:rsid w:val="00586B11"/>
    <w:rsid w:val="0058718B"/>
    <w:rsid w:val="00587B0F"/>
    <w:rsid w:val="00587C73"/>
    <w:rsid w:val="00590107"/>
    <w:rsid w:val="00590A39"/>
    <w:rsid w:val="005910DF"/>
    <w:rsid w:val="00591FC0"/>
    <w:rsid w:val="00592B28"/>
    <w:rsid w:val="00593900"/>
    <w:rsid w:val="00593AEF"/>
    <w:rsid w:val="00593C04"/>
    <w:rsid w:val="00595C58"/>
    <w:rsid w:val="005961F6"/>
    <w:rsid w:val="0059633C"/>
    <w:rsid w:val="00596B3C"/>
    <w:rsid w:val="00596BA7"/>
    <w:rsid w:val="00596D25"/>
    <w:rsid w:val="005973C3"/>
    <w:rsid w:val="00597873"/>
    <w:rsid w:val="00597A6B"/>
    <w:rsid w:val="005A0154"/>
    <w:rsid w:val="005A03DB"/>
    <w:rsid w:val="005A050E"/>
    <w:rsid w:val="005A17DA"/>
    <w:rsid w:val="005A1ECB"/>
    <w:rsid w:val="005A28FB"/>
    <w:rsid w:val="005A2915"/>
    <w:rsid w:val="005A2D09"/>
    <w:rsid w:val="005A302E"/>
    <w:rsid w:val="005A32DF"/>
    <w:rsid w:val="005A350D"/>
    <w:rsid w:val="005A35F6"/>
    <w:rsid w:val="005A387F"/>
    <w:rsid w:val="005A3F92"/>
    <w:rsid w:val="005A434C"/>
    <w:rsid w:val="005A438D"/>
    <w:rsid w:val="005A495F"/>
    <w:rsid w:val="005A497E"/>
    <w:rsid w:val="005A4E68"/>
    <w:rsid w:val="005A4F29"/>
    <w:rsid w:val="005A5086"/>
    <w:rsid w:val="005A52E1"/>
    <w:rsid w:val="005A5715"/>
    <w:rsid w:val="005A5B0A"/>
    <w:rsid w:val="005A6151"/>
    <w:rsid w:val="005A6E9F"/>
    <w:rsid w:val="005A70A4"/>
    <w:rsid w:val="005A77B8"/>
    <w:rsid w:val="005B0794"/>
    <w:rsid w:val="005B094C"/>
    <w:rsid w:val="005B1481"/>
    <w:rsid w:val="005B14B9"/>
    <w:rsid w:val="005B15FF"/>
    <w:rsid w:val="005B214E"/>
    <w:rsid w:val="005B2C48"/>
    <w:rsid w:val="005B3284"/>
    <w:rsid w:val="005B4180"/>
    <w:rsid w:val="005B4A67"/>
    <w:rsid w:val="005B567B"/>
    <w:rsid w:val="005B5C1B"/>
    <w:rsid w:val="005B5E40"/>
    <w:rsid w:val="005B6724"/>
    <w:rsid w:val="005B7E19"/>
    <w:rsid w:val="005B7EB3"/>
    <w:rsid w:val="005C042B"/>
    <w:rsid w:val="005C05DC"/>
    <w:rsid w:val="005C0769"/>
    <w:rsid w:val="005C105B"/>
    <w:rsid w:val="005C1C54"/>
    <w:rsid w:val="005C2CB8"/>
    <w:rsid w:val="005C301E"/>
    <w:rsid w:val="005C3654"/>
    <w:rsid w:val="005C3A54"/>
    <w:rsid w:val="005C3B8F"/>
    <w:rsid w:val="005C456B"/>
    <w:rsid w:val="005C48BA"/>
    <w:rsid w:val="005C48CB"/>
    <w:rsid w:val="005C4E88"/>
    <w:rsid w:val="005C5B1D"/>
    <w:rsid w:val="005C627D"/>
    <w:rsid w:val="005C66C2"/>
    <w:rsid w:val="005C6887"/>
    <w:rsid w:val="005C7246"/>
    <w:rsid w:val="005C7446"/>
    <w:rsid w:val="005C77A6"/>
    <w:rsid w:val="005C7F25"/>
    <w:rsid w:val="005D0D49"/>
    <w:rsid w:val="005D18A8"/>
    <w:rsid w:val="005D1B71"/>
    <w:rsid w:val="005D2775"/>
    <w:rsid w:val="005D2E07"/>
    <w:rsid w:val="005D3513"/>
    <w:rsid w:val="005D46EF"/>
    <w:rsid w:val="005D472E"/>
    <w:rsid w:val="005D60B2"/>
    <w:rsid w:val="005D6A06"/>
    <w:rsid w:val="005D6E9D"/>
    <w:rsid w:val="005D7666"/>
    <w:rsid w:val="005D76F6"/>
    <w:rsid w:val="005D7904"/>
    <w:rsid w:val="005E0929"/>
    <w:rsid w:val="005E1014"/>
    <w:rsid w:val="005E1246"/>
    <w:rsid w:val="005E137F"/>
    <w:rsid w:val="005E198B"/>
    <w:rsid w:val="005E1A57"/>
    <w:rsid w:val="005E1A65"/>
    <w:rsid w:val="005E2275"/>
    <w:rsid w:val="005E2D3F"/>
    <w:rsid w:val="005E361D"/>
    <w:rsid w:val="005E38EC"/>
    <w:rsid w:val="005E392D"/>
    <w:rsid w:val="005E3D3E"/>
    <w:rsid w:val="005E3D51"/>
    <w:rsid w:val="005E3E3C"/>
    <w:rsid w:val="005E3FEC"/>
    <w:rsid w:val="005E48D1"/>
    <w:rsid w:val="005E4B1F"/>
    <w:rsid w:val="005E5C2F"/>
    <w:rsid w:val="005E5F9E"/>
    <w:rsid w:val="005E68CF"/>
    <w:rsid w:val="005E6D42"/>
    <w:rsid w:val="005E6D6B"/>
    <w:rsid w:val="005E6DE9"/>
    <w:rsid w:val="005E710C"/>
    <w:rsid w:val="005E74D1"/>
    <w:rsid w:val="005E7624"/>
    <w:rsid w:val="005E7C8C"/>
    <w:rsid w:val="005E7F8F"/>
    <w:rsid w:val="005F04C3"/>
    <w:rsid w:val="005F0828"/>
    <w:rsid w:val="005F0BBE"/>
    <w:rsid w:val="005F1840"/>
    <w:rsid w:val="005F185D"/>
    <w:rsid w:val="005F1FCB"/>
    <w:rsid w:val="005F279C"/>
    <w:rsid w:val="005F329F"/>
    <w:rsid w:val="005F3870"/>
    <w:rsid w:val="005F3E58"/>
    <w:rsid w:val="005F42B1"/>
    <w:rsid w:val="005F4442"/>
    <w:rsid w:val="005F5400"/>
    <w:rsid w:val="005F550A"/>
    <w:rsid w:val="005F55DF"/>
    <w:rsid w:val="005F5617"/>
    <w:rsid w:val="005F59FB"/>
    <w:rsid w:val="005F6729"/>
    <w:rsid w:val="005F6D3E"/>
    <w:rsid w:val="005F6E61"/>
    <w:rsid w:val="005F6ED2"/>
    <w:rsid w:val="005F794D"/>
    <w:rsid w:val="00600746"/>
    <w:rsid w:val="00601157"/>
    <w:rsid w:val="0060154B"/>
    <w:rsid w:val="0060185E"/>
    <w:rsid w:val="0060215A"/>
    <w:rsid w:val="00602D7F"/>
    <w:rsid w:val="00602F1B"/>
    <w:rsid w:val="006031FA"/>
    <w:rsid w:val="006044A3"/>
    <w:rsid w:val="00604953"/>
    <w:rsid w:val="00604F29"/>
    <w:rsid w:val="006056E6"/>
    <w:rsid w:val="00605BA8"/>
    <w:rsid w:val="00605C43"/>
    <w:rsid w:val="00605FD5"/>
    <w:rsid w:val="00606139"/>
    <w:rsid w:val="006062A7"/>
    <w:rsid w:val="00606446"/>
    <w:rsid w:val="006069AD"/>
    <w:rsid w:val="006075AE"/>
    <w:rsid w:val="006078D3"/>
    <w:rsid w:val="00607DB2"/>
    <w:rsid w:val="0061090E"/>
    <w:rsid w:val="00610C59"/>
    <w:rsid w:val="00610D7C"/>
    <w:rsid w:val="00611A25"/>
    <w:rsid w:val="00611D5F"/>
    <w:rsid w:val="00611F28"/>
    <w:rsid w:val="00611F91"/>
    <w:rsid w:val="00612EC4"/>
    <w:rsid w:val="00612FB2"/>
    <w:rsid w:val="006131EA"/>
    <w:rsid w:val="006134BA"/>
    <w:rsid w:val="006134FC"/>
    <w:rsid w:val="00613A4B"/>
    <w:rsid w:val="00613EFB"/>
    <w:rsid w:val="006144E1"/>
    <w:rsid w:val="006148A2"/>
    <w:rsid w:val="00614ADF"/>
    <w:rsid w:val="0061575D"/>
    <w:rsid w:val="006158F7"/>
    <w:rsid w:val="0061619A"/>
    <w:rsid w:val="006161E3"/>
    <w:rsid w:val="006168D9"/>
    <w:rsid w:val="00616CCA"/>
    <w:rsid w:val="00617307"/>
    <w:rsid w:val="00617C13"/>
    <w:rsid w:val="00620995"/>
    <w:rsid w:val="00620AE9"/>
    <w:rsid w:val="00620C24"/>
    <w:rsid w:val="00620E0C"/>
    <w:rsid w:val="00621923"/>
    <w:rsid w:val="0062200E"/>
    <w:rsid w:val="0062235A"/>
    <w:rsid w:val="00622AE9"/>
    <w:rsid w:val="00622BCE"/>
    <w:rsid w:val="00622DC7"/>
    <w:rsid w:val="00623EBA"/>
    <w:rsid w:val="00624127"/>
    <w:rsid w:val="006248BE"/>
    <w:rsid w:val="00624935"/>
    <w:rsid w:val="00625D42"/>
    <w:rsid w:val="006260C0"/>
    <w:rsid w:val="00626587"/>
    <w:rsid w:val="006275BB"/>
    <w:rsid w:val="00627DC0"/>
    <w:rsid w:val="00627F00"/>
    <w:rsid w:val="0063119D"/>
    <w:rsid w:val="0063148A"/>
    <w:rsid w:val="00631979"/>
    <w:rsid w:val="00631A6E"/>
    <w:rsid w:val="00631B2A"/>
    <w:rsid w:val="006325E6"/>
    <w:rsid w:val="006328F2"/>
    <w:rsid w:val="0063316D"/>
    <w:rsid w:val="00633184"/>
    <w:rsid w:val="0063367B"/>
    <w:rsid w:val="00633A4B"/>
    <w:rsid w:val="00633B4C"/>
    <w:rsid w:val="00633D8E"/>
    <w:rsid w:val="006340CC"/>
    <w:rsid w:val="00634BF3"/>
    <w:rsid w:val="006350B7"/>
    <w:rsid w:val="0063528E"/>
    <w:rsid w:val="006356D1"/>
    <w:rsid w:val="00635CCF"/>
    <w:rsid w:val="006364D7"/>
    <w:rsid w:val="00636705"/>
    <w:rsid w:val="00637099"/>
    <w:rsid w:val="006370D3"/>
    <w:rsid w:val="00637905"/>
    <w:rsid w:val="00637ADE"/>
    <w:rsid w:val="00637B22"/>
    <w:rsid w:val="00637C4F"/>
    <w:rsid w:val="00637D01"/>
    <w:rsid w:val="006405C4"/>
    <w:rsid w:val="00640CF6"/>
    <w:rsid w:val="00641103"/>
    <w:rsid w:val="006417CC"/>
    <w:rsid w:val="00641B14"/>
    <w:rsid w:val="0064299B"/>
    <w:rsid w:val="00643287"/>
    <w:rsid w:val="006436EA"/>
    <w:rsid w:val="00643A69"/>
    <w:rsid w:val="00643A79"/>
    <w:rsid w:val="00643E3E"/>
    <w:rsid w:val="00643E81"/>
    <w:rsid w:val="00643EEC"/>
    <w:rsid w:val="00644507"/>
    <w:rsid w:val="006448AC"/>
    <w:rsid w:val="00644BE7"/>
    <w:rsid w:val="006450FF"/>
    <w:rsid w:val="00645351"/>
    <w:rsid w:val="00645460"/>
    <w:rsid w:val="00646621"/>
    <w:rsid w:val="006467CD"/>
    <w:rsid w:val="006474C0"/>
    <w:rsid w:val="00650C7B"/>
    <w:rsid w:val="006523D8"/>
    <w:rsid w:val="006528CE"/>
    <w:rsid w:val="00652BA8"/>
    <w:rsid w:val="0065333D"/>
    <w:rsid w:val="00653975"/>
    <w:rsid w:val="006539CD"/>
    <w:rsid w:val="0065423C"/>
    <w:rsid w:val="0065434B"/>
    <w:rsid w:val="00654465"/>
    <w:rsid w:val="00655436"/>
    <w:rsid w:val="006556B8"/>
    <w:rsid w:val="00655918"/>
    <w:rsid w:val="006565E4"/>
    <w:rsid w:val="006566DA"/>
    <w:rsid w:val="006568F2"/>
    <w:rsid w:val="00656D03"/>
    <w:rsid w:val="0065709F"/>
    <w:rsid w:val="00657503"/>
    <w:rsid w:val="00657BE3"/>
    <w:rsid w:val="00657C07"/>
    <w:rsid w:val="00657CEB"/>
    <w:rsid w:val="00657E8A"/>
    <w:rsid w:val="00660189"/>
    <w:rsid w:val="006601A4"/>
    <w:rsid w:val="00660BC7"/>
    <w:rsid w:val="00660BE2"/>
    <w:rsid w:val="006614E4"/>
    <w:rsid w:val="006616C3"/>
    <w:rsid w:val="00661B78"/>
    <w:rsid w:val="006624DF"/>
    <w:rsid w:val="00662654"/>
    <w:rsid w:val="0066290C"/>
    <w:rsid w:val="0066295D"/>
    <w:rsid w:val="00662A8F"/>
    <w:rsid w:val="00663E1D"/>
    <w:rsid w:val="0066408D"/>
    <w:rsid w:val="006643D2"/>
    <w:rsid w:val="006644E1"/>
    <w:rsid w:val="0066460E"/>
    <w:rsid w:val="00664A43"/>
    <w:rsid w:val="0066529E"/>
    <w:rsid w:val="00665401"/>
    <w:rsid w:val="0066546D"/>
    <w:rsid w:val="00665493"/>
    <w:rsid w:val="00665B0C"/>
    <w:rsid w:val="00665F58"/>
    <w:rsid w:val="00666051"/>
    <w:rsid w:val="00666523"/>
    <w:rsid w:val="00666B0E"/>
    <w:rsid w:val="006674A1"/>
    <w:rsid w:val="00667CBB"/>
    <w:rsid w:val="00667CC2"/>
    <w:rsid w:val="00667D64"/>
    <w:rsid w:val="00667E7F"/>
    <w:rsid w:val="006703FA"/>
    <w:rsid w:val="00670BF9"/>
    <w:rsid w:val="0067131C"/>
    <w:rsid w:val="0067224B"/>
    <w:rsid w:val="00672592"/>
    <w:rsid w:val="00672E37"/>
    <w:rsid w:val="00673915"/>
    <w:rsid w:val="00673AE9"/>
    <w:rsid w:val="00673F07"/>
    <w:rsid w:val="00674618"/>
    <w:rsid w:val="006747D2"/>
    <w:rsid w:val="00674AB4"/>
    <w:rsid w:val="00674B96"/>
    <w:rsid w:val="006750C6"/>
    <w:rsid w:val="006757EF"/>
    <w:rsid w:val="00675C15"/>
    <w:rsid w:val="00675EAC"/>
    <w:rsid w:val="00675F10"/>
    <w:rsid w:val="00676998"/>
    <w:rsid w:val="00676A70"/>
    <w:rsid w:val="00676DEF"/>
    <w:rsid w:val="00677E76"/>
    <w:rsid w:val="00680207"/>
    <w:rsid w:val="006808D1"/>
    <w:rsid w:val="0068139F"/>
    <w:rsid w:val="006815FD"/>
    <w:rsid w:val="00682464"/>
    <w:rsid w:val="00682E89"/>
    <w:rsid w:val="006839E7"/>
    <w:rsid w:val="00683FFC"/>
    <w:rsid w:val="00684F30"/>
    <w:rsid w:val="006850F7"/>
    <w:rsid w:val="006852E8"/>
    <w:rsid w:val="006857BF"/>
    <w:rsid w:val="006860B1"/>
    <w:rsid w:val="006861DF"/>
    <w:rsid w:val="006864BC"/>
    <w:rsid w:val="00686501"/>
    <w:rsid w:val="0068715D"/>
    <w:rsid w:val="006879AB"/>
    <w:rsid w:val="00687B2B"/>
    <w:rsid w:val="00687C01"/>
    <w:rsid w:val="00690A48"/>
    <w:rsid w:val="00690C4D"/>
    <w:rsid w:val="00690CA6"/>
    <w:rsid w:val="00690D2C"/>
    <w:rsid w:val="00691D84"/>
    <w:rsid w:val="00692273"/>
    <w:rsid w:val="006943EA"/>
    <w:rsid w:val="006957F3"/>
    <w:rsid w:val="00695932"/>
    <w:rsid w:val="00695A38"/>
    <w:rsid w:val="00695BF4"/>
    <w:rsid w:val="00695D68"/>
    <w:rsid w:val="00695E02"/>
    <w:rsid w:val="00695F91"/>
    <w:rsid w:val="00696DAC"/>
    <w:rsid w:val="00696FFE"/>
    <w:rsid w:val="006971C8"/>
    <w:rsid w:val="006977AE"/>
    <w:rsid w:val="00697C9F"/>
    <w:rsid w:val="00697DAF"/>
    <w:rsid w:val="006A0E03"/>
    <w:rsid w:val="006A11B8"/>
    <w:rsid w:val="006A1A47"/>
    <w:rsid w:val="006A1DDD"/>
    <w:rsid w:val="006A241D"/>
    <w:rsid w:val="006A2672"/>
    <w:rsid w:val="006A2929"/>
    <w:rsid w:val="006A2977"/>
    <w:rsid w:val="006A2A27"/>
    <w:rsid w:val="006A2D1D"/>
    <w:rsid w:val="006A30EF"/>
    <w:rsid w:val="006A3A26"/>
    <w:rsid w:val="006A3F28"/>
    <w:rsid w:val="006A445D"/>
    <w:rsid w:val="006A4688"/>
    <w:rsid w:val="006A46A6"/>
    <w:rsid w:val="006A47D3"/>
    <w:rsid w:val="006A5B0C"/>
    <w:rsid w:val="006A5BE7"/>
    <w:rsid w:val="006A7250"/>
    <w:rsid w:val="006A754C"/>
    <w:rsid w:val="006A7563"/>
    <w:rsid w:val="006A76E5"/>
    <w:rsid w:val="006A7886"/>
    <w:rsid w:val="006A7D5E"/>
    <w:rsid w:val="006B0F46"/>
    <w:rsid w:val="006B10BA"/>
    <w:rsid w:val="006B19E3"/>
    <w:rsid w:val="006B1BE0"/>
    <w:rsid w:val="006B1CEE"/>
    <w:rsid w:val="006B255D"/>
    <w:rsid w:val="006B3369"/>
    <w:rsid w:val="006B39DB"/>
    <w:rsid w:val="006B3A22"/>
    <w:rsid w:val="006B3B5D"/>
    <w:rsid w:val="006B45D5"/>
    <w:rsid w:val="006B47B0"/>
    <w:rsid w:val="006B48D6"/>
    <w:rsid w:val="006B4B02"/>
    <w:rsid w:val="006B4B2F"/>
    <w:rsid w:val="006B4E89"/>
    <w:rsid w:val="006B5079"/>
    <w:rsid w:val="006B551B"/>
    <w:rsid w:val="006B552A"/>
    <w:rsid w:val="006B5813"/>
    <w:rsid w:val="006B5B68"/>
    <w:rsid w:val="006B5E26"/>
    <w:rsid w:val="006B6184"/>
    <w:rsid w:val="006B62F4"/>
    <w:rsid w:val="006B660F"/>
    <w:rsid w:val="006C0A2C"/>
    <w:rsid w:val="006C1608"/>
    <w:rsid w:val="006C161C"/>
    <w:rsid w:val="006C19D2"/>
    <w:rsid w:val="006C1B9E"/>
    <w:rsid w:val="006C26B8"/>
    <w:rsid w:val="006C2EDB"/>
    <w:rsid w:val="006C326D"/>
    <w:rsid w:val="006C3582"/>
    <w:rsid w:val="006C3990"/>
    <w:rsid w:val="006C39BE"/>
    <w:rsid w:val="006C3C6E"/>
    <w:rsid w:val="006C40C4"/>
    <w:rsid w:val="006C49E2"/>
    <w:rsid w:val="006C4B47"/>
    <w:rsid w:val="006C5436"/>
    <w:rsid w:val="006C5991"/>
    <w:rsid w:val="006C610B"/>
    <w:rsid w:val="006C636C"/>
    <w:rsid w:val="006C6975"/>
    <w:rsid w:val="006C6AF7"/>
    <w:rsid w:val="006C70E9"/>
    <w:rsid w:val="006C7116"/>
    <w:rsid w:val="006C725A"/>
    <w:rsid w:val="006C778F"/>
    <w:rsid w:val="006C7EE4"/>
    <w:rsid w:val="006D1037"/>
    <w:rsid w:val="006D12D1"/>
    <w:rsid w:val="006D16D4"/>
    <w:rsid w:val="006D1D0B"/>
    <w:rsid w:val="006D2C18"/>
    <w:rsid w:val="006D3336"/>
    <w:rsid w:val="006D3C40"/>
    <w:rsid w:val="006D3FA4"/>
    <w:rsid w:val="006D4951"/>
    <w:rsid w:val="006D4B7B"/>
    <w:rsid w:val="006D692B"/>
    <w:rsid w:val="006D6C1D"/>
    <w:rsid w:val="006D7083"/>
    <w:rsid w:val="006D7223"/>
    <w:rsid w:val="006D7307"/>
    <w:rsid w:val="006D7EDC"/>
    <w:rsid w:val="006E0C0B"/>
    <w:rsid w:val="006E0FC4"/>
    <w:rsid w:val="006E1223"/>
    <w:rsid w:val="006E1741"/>
    <w:rsid w:val="006E1ACB"/>
    <w:rsid w:val="006E2378"/>
    <w:rsid w:val="006E2A89"/>
    <w:rsid w:val="006E2C13"/>
    <w:rsid w:val="006E2D25"/>
    <w:rsid w:val="006E2E12"/>
    <w:rsid w:val="006E3332"/>
    <w:rsid w:val="006E352D"/>
    <w:rsid w:val="006E3D20"/>
    <w:rsid w:val="006E40B4"/>
    <w:rsid w:val="006E41E1"/>
    <w:rsid w:val="006E4792"/>
    <w:rsid w:val="006E70E5"/>
    <w:rsid w:val="006E733A"/>
    <w:rsid w:val="006E75C2"/>
    <w:rsid w:val="006E7B5A"/>
    <w:rsid w:val="006E7CC7"/>
    <w:rsid w:val="006E7F69"/>
    <w:rsid w:val="006F11DD"/>
    <w:rsid w:val="006F17EE"/>
    <w:rsid w:val="006F1F10"/>
    <w:rsid w:val="006F20A3"/>
    <w:rsid w:val="006F214A"/>
    <w:rsid w:val="006F2CDA"/>
    <w:rsid w:val="006F2E61"/>
    <w:rsid w:val="006F2FA2"/>
    <w:rsid w:val="006F3310"/>
    <w:rsid w:val="006F398F"/>
    <w:rsid w:val="006F5653"/>
    <w:rsid w:val="006F5B39"/>
    <w:rsid w:val="006F5D1A"/>
    <w:rsid w:val="006F6085"/>
    <w:rsid w:val="006F61FE"/>
    <w:rsid w:val="006F6365"/>
    <w:rsid w:val="006F64F7"/>
    <w:rsid w:val="006F665F"/>
    <w:rsid w:val="006F68D5"/>
    <w:rsid w:val="006F6A78"/>
    <w:rsid w:val="006F732F"/>
    <w:rsid w:val="006F7C3B"/>
    <w:rsid w:val="00700560"/>
    <w:rsid w:val="00700C56"/>
    <w:rsid w:val="00700DA0"/>
    <w:rsid w:val="0070128D"/>
    <w:rsid w:val="007012CB"/>
    <w:rsid w:val="0070188E"/>
    <w:rsid w:val="007033B1"/>
    <w:rsid w:val="00704CAF"/>
    <w:rsid w:val="00704CE4"/>
    <w:rsid w:val="00705595"/>
    <w:rsid w:val="007059EE"/>
    <w:rsid w:val="00705DD4"/>
    <w:rsid w:val="00706140"/>
    <w:rsid w:val="00706357"/>
    <w:rsid w:val="00706C52"/>
    <w:rsid w:val="00707257"/>
    <w:rsid w:val="0070743D"/>
    <w:rsid w:val="00707958"/>
    <w:rsid w:val="00710256"/>
    <w:rsid w:val="00710547"/>
    <w:rsid w:val="00710ACF"/>
    <w:rsid w:val="00710B03"/>
    <w:rsid w:val="00711111"/>
    <w:rsid w:val="007111D8"/>
    <w:rsid w:val="00711C67"/>
    <w:rsid w:val="0071214C"/>
    <w:rsid w:val="00712524"/>
    <w:rsid w:val="00712709"/>
    <w:rsid w:val="007128D9"/>
    <w:rsid w:val="00713FD3"/>
    <w:rsid w:val="00714879"/>
    <w:rsid w:val="00715848"/>
    <w:rsid w:val="00715A1D"/>
    <w:rsid w:val="0071635A"/>
    <w:rsid w:val="007163E1"/>
    <w:rsid w:val="00716574"/>
    <w:rsid w:val="007169ED"/>
    <w:rsid w:val="00716E3F"/>
    <w:rsid w:val="007171F8"/>
    <w:rsid w:val="0071753C"/>
    <w:rsid w:val="00717A5A"/>
    <w:rsid w:val="00717C6A"/>
    <w:rsid w:val="0072039E"/>
    <w:rsid w:val="00720658"/>
    <w:rsid w:val="00720806"/>
    <w:rsid w:val="00720C2E"/>
    <w:rsid w:val="00720F15"/>
    <w:rsid w:val="00720FE2"/>
    <w:rsid w:val="00721244"/>
    <w:rsid w:val="007216AA"/>
    <w:rsid w:val="00721A9D"/>
    <w:rsid w:val="00722588"/>
    <w:rsid w:val="007227F1"/>
    <w:rsid w:val="00722B33"/>
    <w:rsid w:val="007234F7"/>
    <w:rsid w:val="0072390F"/>
    <w:rsid w:val="00723AE8"/>
    <w:rsid w:val="00723C30"/>
    <w:rsid w:val="00723F08"/>
    <w:rsid w:val="00724131"/>
    <w:rsid w:val="007249BF"/>
    <w:rsid w:val="0072502D"/>
    <w:rsid w:val="00725632"/>
    <w:rsid w:val="007256D3"/>
    <w:rsid w:val="00725A05"/>
    <w:rsid w:val="00725B23"/>
    <w:rsid w:val="00725CE0"/>
    <w:rsid w:val="00725F5B"/>
    <w:rsid w:val="00726026"/>
    <w:rsid w:val="00726122"/>
    <w:rsid w:val="00726230"/>
    <w:rsid w:val="00726258"/>
    <w:rsid w:val="00726AEF"/>
    <w:rsid w:val="00727587"/>
    <w:rsid w:val="00727993"/>
    <w:rsid w:val="00727AD3"/>
    <w:rsid w:val="00727ECB"/>
    <w:rsid w:val="00727FB7"/>
    <w:rsid w:val="007301AF"/>
    <w:rsid w:val="00730C33"/>
    <w:rsid w:val="00730C7A"/>
    <w:rsid w:val="007311C3"/>
    <w:rsid w:val="0073152C"/>
    <w:rsid w:val="0073184C"/>
    <w:rsid w:val="00732429"/>
    <w:rsid w:val="00732DC9"/>
    <w:rsid w:val="00732F79"/>
    <w:rsid w:val="00733852"/>
    <w:rsid w:val="007347BB"/>
    <w:rsid w:val="007353E7"/>
    <w:rsid w:val="007358BA"/>
    <w:rsid w:val="00736085"/>
    <w:rsid w:val="007363B5"/>
    <w:rsid w:val="0073650A"/>
    <w:rsid w:val="00736F2A"/>
    <w:rsid w:val="00737F7C"/>
    <w:rsid w:val="00740172"/>
    <w:rsid w:val="00740536"/>
    <w:rsid w:val="00740D22"/>
    <w:rsid w:val="00740DA6"/>
    <w:rsid w:val="00741349"/>
    <w:rsid w:val="007413FB"/>
    <w:rsid w:val="007414B3"/>
    <w:rsid w:val="0074258A"/>
    <w:rsid w:val="007426FC"/>
    <w:rsid w:val="007428A2"/>
    <w:rsid w:val="00743174"/>
    <w:rsid w:val="007433F8"/>
    <w:rsid w:val="00743816"/>
    <w:rsid w:val="00743959"/>
    <w:rsid w:val="00743A00"/>
    <w:rsid w:val="00743ECB"/>
    <w:rsid w:val="00744277"/>
    <w:rsid w:val="007451B7"/>
    <w:rsid w:val="0074552F"/>
    <w:rsid w:val="00746A44"/>
    <w:rsid w:val="00747287"/>
    <w:rsid w:val="00747309"/>
    <w:rsid w:val="007475CA"/>
    <w:rsid w:val="00750B8C"/>
    <w:rsid w:val="00750C82"/>
    <w:rsid w:val="00751791"/>
    <w:rsid w:val="00751FD0"/>
    <w:rsid w:val="007521F0"/>
    <w:rsid w:val="00753535"/>
    <w:rsid w:val="00753D56"/>
    <w:rsid w:val="007541C1"/>
    <w:rsid w:val="007547A4"/>
    <w:rsid w:val="00754B3C"/>
    <w:rsid w:val="00754BB0"/>
    <w:rsid w:val="007551DB"/>
    <w:rsid w:val="00755789"/>
    <w:rsid w:val="00755C92"/>
    <w:rsid w:val="00755DB4"/>
    <w:rsid w:val="00755EC4"/>
    <w:rsid w:val="007572DC"/>
    <w:rsid w:val="00757490"/>
    <w:rsid w:val="00757F4D"/>
    <w:rsid w:val="00760B5D"/>
    <w:rsid w:val="00760CC6"/>
    <w:rsid w:val="00761283"/>
    <w:rsid w:val="007612C5"/>
    <w:rsid w:val="00761921"/>
    <w:rsid w:val="007620B8"/>
    <w:rsid w:val="00763340"/>
    <w:rsid w:val="00763E04"/>
    <w:rsid w:val="0076434A"/>
    <w:rsid w:val="0076448B"/>
    <w:rsid w:val="0076483E"/>
    <w:rsid w:val="00764843"/>
    <w:rsid w:val="00765746"/>
    <w:rsid w:val="007678B9"/>
    <w:rsid w:val="0077054F"/>
    <w:rsid w:val="007706EF"/>
    <w:rsid w:val="007707ED"/>
    <w:rsid w:val="007708FB"/>
    <w:rsid w:val="00770D80"/>
    <w:rsid w:val="00770EF9"/>
    <w:rsid w:val="007711D3"/>
    <w:rsid w:val="007712B7"/>
    <w:rsid w:val="00771E74"/>
    <w:rsid w:val="00772F1A"/>
    <w:rsid w:val="00773434"/>
    <w:rsid w:val="007743A4"/>
    <w:rsid w:val="00774C64"/>
    <w:rsid w:val="007750B5"/>
    <w:rsid w:val="007753CF"/>
    <w:rsid w:val="007755CD"/>
    <w:rsid w:val="00775C73"/>
    <w:rsid w:val="007762CC"/>
    <w:rsid w:val="00776326"/>
    <w:rsid w:val="00776724"/>
    <w:rsid w:val="00776A2F"/>
    <w:rsid w:val="00776B82"/>
    <w:rsid w:val="00776F7D"/>
    <w:rsid w:val="007770EF"/>
    <w:rsid w:val="00777304"/>
    <w:rsid w:val="00777701"/>
    <w:rsid w:val="00777C6A"/>
    <w:rsid w:val="00777D79"/>
    <w:rsid w:val="00780447"/>
    <w:rsid w:val="007807ED"/>
    <w:rsid w:val="00780C3C"/>
    <w:rsid w:val="007813E5"/>
    <w:rsid w:val="0078151D"/>
    <w:rsid w:val="00781888"/>
    <w:rsid w:val="00781C54"/>
    <w:rsid w:val="00782226"/>
    <w:rsid w:val="00782363"/>
    <w:rsid w:val="007823CA"/>
    <w:rsid w:val="007824AB"/>
    <w:rsid w:val="007833DA"/>
    <w:rsid w:val="007853FF"/>
    <w:rsid w:val="007855BD"/>
    <w:rsid w:val="007859FA"/>
    <w:rsid w:val="00786EB3"/>
    <w:rsid w:val="00786FAE"/>
    <w:rsid w:val="007873FA"/>
    <w:rsid w:val="00787536"/>
    <w:rsid w:val="00787B5E"/>
    <w:rsid w:val="00787CDE"/>
    <w:rsid w:val="00790261"/>
    <w:rsid w:val="0079031A"/>
    <w:rsid w:val="007908C0"/>
    <w:rsid w:val="007911C6"/>
    <w:rsid w:val="007912E7"/>
    <w:rsid w:val="007918C6"/>
    <w:rsid w:val="00792D93"/>
    <w:rsid w:val="00792FA1"/>
    <w:rsid w:val="007943CD"/>
    <w:rsid w:val="0079555D"/>
    <w:rsid w:val="00795633"/>
    <w:rsid w:val="00795B27"/>
    <w:rsid w:val="007969FE"/>
    <w:rsid w:val="0079748B"/>
    <w:rsid w:val="00797DED"/>
    <w:rsid w:val="007A0C5E"/>
    <w:rsid w:val="007A0EEB"/>
    <w:rsid w:val="007A105D"/>
    <w:rsid w:val="007A198D"/>
    <w:rsid w:val="007A1ADC"/>
    <w:rsid w:val="007A1B84"/>
    <w:rsid w:val="007A1D6A"/>
    <w:rsid w:val="007A21A9"/>
    <w:rsid w:val="007A2294"/>
    <w:rsid w:val="007A241B"/>
    <w:rsid w:val="007A26F8"/>
    <w:rsid w:val="007A2704"/>
    <w:rsid w:val="007A2C39"/>
    <w:rsid w:val="007A2DAB"/>
    <w:rsid w:val="007A32EE"/>
    <w:rsid w:val="007A3677"/>
    <w:rsid w:val="007A3A95"/>
    <w:rsid w:val="007A3C78"/>
    <w:rsid w:val="007A4667"/>
    <w:rsid w:val="007A48C4"/>
    <w:rsid w:val="007A4B53"/>
    <w:rsid w:val="007A4F07"/>
    <w:rsid w:val="007A51E8"/>
    <w:rsid w:val="007A757C"/>
    <w:rsid w:val="007A76FD"/>
    <w:rsid w:val="007B0FBF"/>
    <w:rsid w:val="007B216C"/>
    <w:rsid w:val="007B2D52"/>
    <w:rsid w:val="007B3E1D"/>
    <w:rsid w:val="007B4025"/>
    <w:rsid w:val="007B6332"/>
    <w:rsid w:val="007B728D"/>
    <w:rsid w:val="007B7851"/>
    <w:rsid w:val="007B7C84"/>
    <w:rsid w:val="007C03E4"/>
    <w:rsid w:val="007C050D"/>
    <w:rsid w:val="007C0877"/>
    <w:rsid w:val="007C1070"/>
    <w:rsid w:val="007C2760"/>
    <w:rsid w:val="007C2FB1"/>
    <w:rsid w:val="007C38B2"/>
    <w:rsid w:val="007C4107"/>
    <w:rsid w:val="007C4226"/>
    <w:rsid w:val="007C4660"/>
    <w:rsid w:val="007C4AB7"/>
    <w:rsid w:val="007C565F"/>
    <w:rsid w:val="007C6332"/>
    <w:rsid w:val="007C7A7D"/>
    <w:rsid w:val="007D0A73"/>
    <w:rsid w:val="007D0F31"/>
    <w:rsid w:val="007D1764"/>
    <w:rsid w:val="007D1C5D"/>
    <w:rsid w:val="007D2A8F"/>
    <w:rsid w:val="007D2B78"/>
    <w:rsid w:val="007D2E3B"/>
    <w:rsid w:val="007D32FA"/>
    <w:rsid w:val="007D33B0"/>
    <w:rsid w:val="007D489A"/>
    <w:rsid w:val="007D4932"/>
    <w:rsid w:val="007D5122"/>
    <w:rsid w:val="007D5567"/>
    <w:rsid w:val="007D5AD3"/>
    <w:rsid w:val="007D72B1"/>
    <w:rsid w:val="007D7300"/>
    <w:rsid w:val="007E0102"/>
    <w:rsid w:val="007E09F3"/>
    <w:rsid w:val="007E0C95"/>
    <w:rsid w:val="007E16CC"/>
    <w:rsid w:val="007E1CBD"/>
    <w:rsid w:val="007E1EF7"/>
    <w:rsid w:val="007E3EC5"/>
    <w:rsid w:val="007E4263"/>
    <w:rsid w:val="007E4411"/>
    <w:rsid w:val="007E58F8"/>
    <w:rsid w:val="007E5AC8"/>
    <w:rsid w:val="007E687B"/>
    <w:rsid w:val="007E6E2C"/>
    <w:rsid w:val="007E7A2D"/>
    <w:rsid w:val="007F00BD"/>
    <w:rsid w:val="007F0B40"/>
    <w:rsid w:val="007F0CB4"/>
    <w:rsid w:val="007F0F97"/>
    <w:rsid w:val="007F1B07"/>
    <w:rsid w:val="007F22EB"/>
    <w:rsid w:val="007F2E7C"/>
    <w:rsid w:val="007F303C"/>
    <w:rsid w:val="007F3328"/>
    <w:rsid w:val="007F350E"/>
    <w:rsid w:val="007F37F2"/>
    <w:rsid w:val="007F3AB8"/>
    <w:rsid w:val="007F405C"/>
    <w:rsid w:val="007F40B4"/>
    <w:rsid w:val="007F4A1F"/>
    <w:rsid w:val="007F53F9"/>
    <w:rsid w:val="007F5597"/>
    <w:rsid w:val="007F5DF2"/>
    <w:rsid w:val="007F6341"/>
    <w:rsid w:val="007F65CA"/>
    <w:rsid w:val="007F6EB9"/>
    <w:rsid w:val="007F74BE"/>
    <w:rsid w:val="007F7893"/>
    <w:rsid w:val="007F7B73"/>
    <w:rsid w:val="007F7D4E"/>
    <w:rsid w:val="00801387"/>
    <w:rsid w:val="00801EB2"/>
    <w:rsid w:val="00801ED1"/>
    <w:rsid w:val="00802956"/>
    <w:rsid w:val="00803946"/>
    <w:rsid w:val="00804247"/>
    <w:rsid w:val="0080468B"/>
    <w:rsid w:val="0080510B"/>
    <w:rsid w:val="008058D9"/>
    <w:rsid w:val="00805E13"/>
    <w:rsid w:val="00805E72"/>
    <w:rsid w:val="00806365"/>
    <w:rsid w:val="008069D9"/>
    <w:rsid w:val="00807549"/>
    <w:rsid w:val="008077FB"/>
    <w:rsid w:val="00807BC3"/>
    <w:rsid w:val="0081026E"/>
    <w:rsid w:val="008102F3"/>
    <w:rsid w:val="0081053B"/>
    <w:rsid w:val="0081071A"/>
    <w:rsid w:val="008107B8"/>
    <w:rsid w:val="00810823"/>
    <w:rsid w:val="00810ADA"/>
    <w:rsid w:val="00810DA6"/>
    <w:rsid w:val="00811809"/>
    <w:rsid w:val="0081264A"/>
    <w:rsid w:val="00813BD2"/>
    <w:rsid w:val="00813DE6"/>
    <w:rsid w:val="00814485"/>
    <w:rsid w:val="00814CD6"/>
    <w:rsid w:val="00815155"/>
    <w:rsid w:val="00815C81"/>
    <w:rsid w:val="008169BC"/>
    <w:rsid w:val="00817028"/>
    <w:rsid w:val="008171C0"/>
    <w:rsid w:val="008178E0"/>
    <w:rsid w:val="00817ECE"/>
    <w:rsid w:val="00817F77"/>
    <w:rsid w:val="00820382"/>
    <w:rsid w:val="00820C75"/>
    <w:rsid w:val="00820F40"/>
    <w:rsid w:val="00822BD0"/>
    <w:rsid w:val="008234CB"/>
    <w:rsid w:val="008236FD"/>
    <w:rsid w:val="0082462D"/>
    <w:rsid w:val="00824AB5"/>
    <w:rsid w:val="00824AD7"/>
    <w:rsid w:val="008250E7"/>
    <w:rsid w:val="00825C35"/>
    <w:rsid w:val="00825D52"/>
    <w:rsid w:val="00826436"/>
    <w:rsid w:val="0082665C"/>
    <w:rsid w:val="00826731"/>
    <w:rsid w:val="00826FBB"/>
    <w:rsid w:val="00827075"/>
    <w:rsid w:val="00827301"/>
    <w:rsid w:val="00827496"/>
    <w:rsid w:val="00827B5B"/>
    <w:rsid w:val="00827E42"/>
    <w:rsid w:val="00830E81"/>
    <w:rsid w:val="008311BC"/>
    <w:rsid w:val="0083189F"/>
    <w:rsid w:val="008319A8"/>
    <w:rsid w:val="00831ABB"/>
    <w:rsid w:val="0083281D"/>
    <w:rsid w:val="00832E6B"/>
    <w:rsid w:val="008337F8"/>
    <w:rsid w:val="008338B7"/>
    <w:rsid w:val="00833AD8"/>
    <w:rsid w:val="00833CEB"/>
    <w:rsid w:val="00833FB1"/>
    <w:rsid w:val="008341DF"/>
    <w:rsid w:val="00834719"/>
    <w:rsid w:val="00834B84"/>
    <w:rsid w:val="00834B8E"/>
    <w:rsid w:val="0083543E"/>
    <w:rsid w:val="008356F9"/>
    <w:rsid w:val="008368BB"/>
    <w:rsid w:val="008377EB"/>
    <w:rsid w:val="0084029C"/>
    <w:rsid w:val="00840F62"/>
    <w:rsid w:val="00841292"/>
    <w:rsid w:val="008422EA"/>
    <w:rsid w:val="00842B06"/>
    <w:rsid w:val="00842EE6"/>
    <w:rsid w:val="008433C4"/>
    <w:rsid w:val="0084382D"/>
    <w:rsid w:val="00843965"/>
    <w:rsid w:val="008439FF"/>
    <w:rsid w:val="00845347"/>
    <w:rsid w:val="0084547E"/>
    <w:rsid w:val="00846567"/>
    <w:rsid w:val="008470D4"/>
    <w:rsid w:val="008473F5"/>
    <w:rsid w:val="008478C5"/>
    <w:rsid w:val="00847B92"/>
    <w:rsid w:val="00847B9D"/>
    <w:rsid w:val="008516CE"/>
    <w:rsid w:val="00853599"/>
    <w:rsid w:val="00853A53"/>
    <w:rsid w:val="00853D8D"/>
    <w:rsid w:val="0085455F"/>
    <w:rsid w:val="00854D6E"/>
    <w:rsid w:val="0085501D"/>
    <w:rsid w:val="00855427"/>
    <w:rsid w:val="008558FE"/>
    <w:rsid w:val="00855C6E"/>
    <w:rsid w:val="00855CE0"/>
    <w:rsid w:val="00855E0F"/>
    <w:rsid w:val="00855F90"/>
    <w:rsid w:val="00856872"/>
    <w:rsid w:val="008577B1"/>
    <w:rsid w:val="008611DF"/>
    <w:rsid w:val="008620E4"/>
    <w:rsid w:val="00862820"/>
    <w:rsid w:val="008629DE"/>
    <w:rsid w:val="008630DB"/>
    <w:rsid w:val="0086375A"/>
    <w:rsid w:val="008637F9"/>
    <w:rsid w:val="0086389C"/>
    <w:rsid w:val="00863AEA"/>
    <w:rsid w:val="00864007"/>
    <w:rsid w:val="008644E5"/>
    <w:rsid w:val="00864545"/>
    <w:rsid w:val="00864AE2"/>
    <w:rsid w:val="00865478"/>
    <w:rsid w:val="00865496"/>
    <w:rsid w:val="00865E52"/>
    <w:rsid w:val="00866347"/>
    <w:rsid w:val="00866785"/>
    <w:rsid w:val="00866E16"/>
    <w:rsid w:val="00867BD6"/>
    <w:rsid w:val="00870DDA"/>
    <w:rsid w:val="0087174F"/>
    <w:rsid w:val="00872594"/>
    <w:rsid w:val="00872DFF"/>
    <w:rsid w:val="008733DF"/>
    <w:rsid w:val="00873929"/>
    <w:rsid w:val="00874395"/>
    <w:rsid w:val="0087453D"/>
    <w:rsid w:val="0087494E"/>
    <w:rsid w:val="00874A7A"/>
    <w:rsid w:val="00874BEA"/>
    <w:rsid w:val="00874DC0"/>
    <w:rsid w:val="0087559C"/>
    <w:rsid w:val="00877641"/>
    <w:rsid w:val="00877AAA"/>
    <w:rsid w:val="00877BC4"/>
    <w:rsid w:val="008801F1"/>
    <w:rsid w:val="008806B5"/>
    <w:rsid w:val="008806EB"/>
    <w:rsid w:val="008809BC"/>
    <w:rsid w:val="0088160C"/>
    <w:rsid w:val="00881D25"/>
    <w:rsid w:val="00881EAB"/>
    <w:rsid w:val="0088279B"/>
    <w:rsid w:val="00882D61"/>
    <w:rsid w:val="00882E41"/>
    <w:rsid w:val="00882EFF"/>
    <w:rsid w:val="00883176"/>
    <w:rsid w:val="00884634"/>
    <w:rsid w:val="0088490F"/>
    <w:rsid w:val="00884E0E"/>
    <w:rsid w:val="00884EAC"/>
    <w:rsid w:val="00885245"/>
    <w:rsid w:val="00885941"/>
    <w:rsid w:val="008859A0"/>
    <w:rsid w:val="008861B2"/>
    <w:rsid w:val="008863F2"/>
    <w:rsid w:val="008865DA"/>
    <w:rsid w:val="008870E0"/>
    <w:rsid w:val="0088715A"/>
    <w:rsid w:val="00887B04"/>
    <w:rsid w:val="00887C2C"/>
    <w:rsid w:val="00887FB4"/>
    <w:rsid w:val="008902D6"/>
    <w:rsid w:val="00890328"/>
    <w:rsid w:val="0089048C"/>
    <w:rsid w:val="00890611"/>
    <w:rsid w:val="0089105C"/>
    <w:rsid w:val="00891179"/>
    <w:rsid w:val="0089179B"/>
    <w:rsid w:val="00891923"/>
    <w:rsid w:val="00891A0C"/>
    <w:rsid w:val="00891DFB"/>
    <w:rsid w:val="00892450"/>
    <w:rsid w:val="008924CD"/>
    <w:rsid w:val="008926C8"/>
    <w:rsid w:val="00892E20"/>
    <w:rsid w:val="008932A6"/>
    <w:rsid w:val="008937FF"/>
    <w:rsid w:val="0089399E"/>
    <w:rsid w:val="00894383"/>
    <w:rsid w:val="0089529D"/>
    <w:rsid w:val="00895436"/>
    <w:rsid w:val="00895E1D"/>
    <w:rsid w:val="0089659F"/>
    <w:rsid w:val="0089686A"/>
    <w:rsid w:val="008974CE"/>
    <w:rsid w:val="00897A25"/>
    <w:rsid w:val="008A0194"/>
    <w:rsid w:val="008A0351"/>
    <w:rsid w:val="008A0759"/>
    <w:rsid w:val="008A0A12"/>
    <w:rsid w:val="008A1291"/>
    <w:rsid w:val="008A1BE8"/>
    <w:rsid w:val="008A1CB6"/>
    <w:rsid w:val="008A1F5B"/>
    <w:rsid w:val="008A22F0"/>
    <w:rsid w:val="008A3324"/>
    <w:rsid w:val="008A4CF6"/>
    <w:rsid w:val="008A522D"/>
    <w:rsid w:val="008A5567"/>
    <w:rsid w:val="008A5AE1"/>
    <w:rsid w:val="008A6281"/>
    <w:rsid w:val="008A689B"/>
    <w:rsid w:val="008A6B8B"/>
    <w:rsid w:val="008A769F"/>
    <w:rsid w:val="008B07B8"/>
    <w:rsid w:val="008B0C5C"/>
    <w:rsid w:val="008B0DB2"/>
    <w:rsid w:val="008B151F"/>
    <w:rsid w:val="008B2597"/>
    <w:rsid w:val="008B33B5"/>
    <w:rsid w:val="008B37E9"/>
    <w:rsid w:val="008B3846"/>
    <w:rsid w:val="008B4C86"/>
    <w:rsid w:val="008B4D94"/>
    <w:rsid w:val="008B50E9"/>
    <w:rsid w:val="008B531F"/>
    <w:rsid w:val="008B5C55"/>
    <w:rsid w:val="008B5CC8"/>
    <w:rsid w:val="008B5EED"/>
    <w:rsid w:val="008B6110"/>
    <w:rsid w:val="008B6430"/>
    <w:rsid w:val="008B6644"/>
    <w:rsid w:val="008B6A92"/>
    <w:rsid w:val="008B6F23"/>
    <w:rsid w:val="008B79EA"/>
    <w:rsid w:val="008B7A23"/>
    <w:rsid w:val="008C0430"/>
    <w:rsid w:val="008C080D"/>
    <w:rsid w:val="008C147F"/>
    <w:rsid w:val="008C1527"/>
    <w:rsid w:val="008C1632"/>
    <w:rsid w:val="008C1D5F"/>
    <w:rsid w:val="008C1F8C"/>
    <w:rsid w:val="008C2DA3"/>
    <w:rsid w:val="008C2E33"/>
    <w:rsid w:val="008C2E9A"/>
    <w:rsid w:val="008C2EC6"/>
    <w:rsid w:val="008C3525"/>
    <w:rsid w:val="008C413F"/>
    <w:rsid w:val="008C46D0"/>
    <w:rsid w:val="008C4957"/>
    <w:rsid w:val="008C61E0"/>
    <w:rsid w:val="008C6469"/>
    <w:rsid w:val="008C776A"/>
    <w:rsid w:val="008C7990"/>
    <w:rsid w:val="008C7E32"/>
    <w:rsid w:val="008D0309"/>
    <w:rsid w:val="008D067F"/>
    <w:rsid w:val="008D0C9D"/>
    <w:rsid w:val="008D0E5D"/>
    <w:rsid w:val="008D0FC5"/>
    <w:rsid w:val="008D2181"/>
    <w:rsid w:val="008D221C"/>
    <w:rsid w:val="008D2355"/>
    <w:rsid w:val="008D2572"/>
    <w:rsid w:val="008D279B"/>
    <w:rsid w:val="008D328A"/>
    <w:rsid w:val="008D36A6"/>
    <w:rsid w:val="008D398A"/>
    <w:rsid w:val="008D4853"/>
    <w:rsid w:val="008D4929"/>
    <w:rsid w:val="008D4935"/>
    <w:rsid w:val="008D4EAB"/>
    <w:rsid w:val="008D571A"/>
    <w:rsid w:val="008D6364"/>
    <w:rsid w:val="008D659A"/>
    <w:rsid w:val="008D68A0"/>
    <w:rsid w:val="008D697A"/>
    <w:rsid w:val="008D74D5"/>
    <w:rsid w:val="008E048A"/>
    <w:rsid w:val="008E08B9"/>
    <w:rsid w:val="008E145E"/>
    <w:rsid w:val="008E15F1"/>
    <w:rsid w:val="008E26F9"/>
    <w:rsid w:val="008E2828"/>
    <w:rsid w:val="008E2B55"/>
    <w:rsid w:val="008E363A"/>
    <w:rsid w:val="008E3C14"/>
    <w:rsid w:val="008E41A4"/>
    <w:rsid w:val="008E43F5"/>
    <w:rsid w:val="008E5F7C"/>
    <w:rsid w:val="008E60E6"/>
    <w:rsid w:val="008E624C"/>
    <w:rsid w:val="008E633A"/>
    <w:rsid w:val="008E6C43"/>
    <w:rsid w:val="008E782A"/>
    <w:rsid w:val="008E7A02"/>
    <w:rsid w:val="008F0579"/>
    <w:rsid w:val="008F2254"/>
    <w:rsid w:val="008F3421"/>
    <w:rsid w:val="008F386B"/>
    <w:rsid w:val="008F408B"/>
    <w:rsid w:val="008F430A"/>
    <w:rsid w:val="008F4E02"/>
    <w:rsid w:val="008F538D"/>
    <w:rsid w:val="008F56E4"/>
    <w:rsid w:val="008F626A"/>
    <w:rsid w:val="008F6D51"/>
    <w:rsid w:val="008F6E52"/>
    <w:rsid w:val="008F6F82"/>
    <w:rsid w:val="008F790D"/>
    <w:rsid w:val="008F791F"/>
    <w:rsid w:val="00900016"/>
    <w:rsid w:val="0090197E"/>
    <w:rsid w:val="00901DF0"/>
    <w:rsid w:val="00901FE6"/>
    <w:rsid w:val="0090221F"/>
    <w:rsid w:val="00903132"/>
    <w:rsid w:val="009031DB"/>
    <w:rsid w:val="009035E4"/>
    <w:rsid w:val="00903AFE"/>
    <w:rsid w:val="009041B6"/>
    <w:rsid w:val="0090516B"/>
    <w:rsid w:val="009053DE"/>
    <w:rsid w:val="00905D36"/>
    <w:rsid w:val="00905DCF"/>
    <w:rsid w:val="00906195"/>
    <w:rsid w:val="00906A1A"/>
    <w:rsid w:val="00906C95"/>
    <w:rsid w:val="009072A1"/>
    <w:rsid w:val="00907678"/>
    <w:rsid w:val="00907E19"/>
    <w:rsid w:val="00910082"/>
    <w:rsid w:val="009101FE"/>
    <w:rsid w:val="00910A07"/>
    <w:rsid w:val="00910C57"/>
    <w:rsid w:val="00910DFF"/>
    <w:rsid w:val="00911400"/>
    <w:rsid w:val="0091182D"/>
    <w:rsid w:val="0091297F"/>
    <w:rsid w:val="00913046"/>
    <w:rsid w:val="009131E2"/>
    <w:rsid w:val="00913248"/>
    <w:rsid w:val="009149AE"/>
    <w:rsid w:val="00914D29"/>
    <w:rsid w:val="00914E5A"/>
    <w:rsid w:val="00915257"/>
    <w:rsid w:val="009153DE"/>
    <w:rsid w:val="0091577C"/>
    <w:rsid w:val="009158D0"/>
    <w:rsid w:val="00916300"/>
    <w:rsid w:val="00916B35"/>
    <w:rsid w:val="00916FD8"/>
    <w:rsid w:val="0091766A"/>
    <w:rsid w:val="009177F2"/>
    <w:rsid w:val="0092042F"/>
    <w:rsid w:val="0092091E"/>
    <w:rsid w:val="00920D4C"/>
    <w:rsid w:val="00921CC5"/>
    <w:rsid w:val="009221F2"/>
    <w:rsid w:val="00922766"/>
    <w:rsid w:val="0092311B"/>
    <w:rsid w:val="00923164"/>
    <w:rsid w:val="00923806"/>
    <w:rsid w:val="0092387D"/>
    <w:rsid w:val="009244F5"/>
    <w:rsid w:val="009249AE"/>
    <w:rsid w:val="00924E15"/>
    <w:rsid w:val="00925005"/>
    <w:rsid w:val="009252C5"/>
    <w:rsid w:val="00925594"/>
    <w:rsid w:val="00925B55"/>
    <w:rsid w:val="0092620B"/>
    <w:rsid w:val="00926ABE"/>
    <w:rsid w:val="00930285"/>
    <w:rsid w:val="00930368"/>
    <w:rsid w:val="00930D1B"/>
    <w:rsid w:val="00930DFC"/>
    <w:rsid w:val="00930E0B"/>
    <w:rsid w:val="00930FB4"/>
    <w:rsid w:val="00931820"/>
    <w:rsid w:val="00931947"/>
    <w:rsid w:val="009319CE"/>
    <w:rsid w:val="00932091"/>
    <w:rsid w:val="0093261F"/>
    <w:rsid w:val="009333BC"/>
    <w:rsid w:val="00933405"/>
    <w:rsid w:val="00934985"/>
    <w:rsid w:val="00934DE6"/>
    <w:rsid w:val="009352F0"/>
    <w:rsid w:val="00935538"/>
    <w:rsid w:val="009357E7"/>
    <w:rsid w:val="00935D80"/>
    <w:rsid w:val="009363EE"/>
    <w:rsid w:val="0093655B"/>
    <w:rsid w:val="00936C91"/>
    <w:rsid w:val="00937700"/>
    <w:rsid w:val="00940B62"/>
    <w:rsid w:val="00940B88"/>
    <w:rsid w:val="00942178"/>
    <w:rsid w:val="009428C8"/>
    <w:rsid w:val="00943108"/>
    <w:rsid w:val="00943561"/>
    <w:rsid w:val="009439B8"/>
    <w:rsid w:val="00943B29"/>
    <w:rsid w:val="009446C4"/>
    <w:rsid w:val="00945180"/>
    <w:rsid w:val="00945B2F"/>
    <w:rsid w:val="00945C7E"/>
    <w:rsid w:val="00946111"/>
    <w:rsid w:val="00946F50"/>
    <w:rsid w:val="009478AF"/>
    <w:rsid w:val="009479E4"/>
    <w:rsid w:val="00947E65"/>
    <w:rsid w:val="00947F14"/>
    <w:rsid w:val="0095005F"/>
    <w:rsid w:val="009503ED"/>
    <w:rsid w:val="009505C3"/>
    <w:rsid w:val="00950906"/>
    <w:rsid w:val="009518FF"/>
    <w:rsid w:val="009527FB"/>
    <w:rsid w:val="00952ADB"/>
    <w:rsid w:val="00952F60"/>
    <w:rsid w:val="00953296"/>
    <w:rsid w:val="00953461"/>
    <w:rsid w:val="00953644"/>
    <w:rsid w:val="00953AE0"/>
    <w:rsid w:val="00953DAC"/>
    <w:rsid w:val="00953DE9"/>
    <w:rsid w:val="00955044"/>
    <w:rsid w:val="00955728"/>
    <w:rsid w:val="00955BE9"/>
    <w:rsid w:val="00955DB6"/>
    <w:rsid w:val="0095605E"/>
    <w:rsid w:val="009567C6"/>
    <w:rsid w:val="00956C9D"/>
    <w:rsid w:val="00956E8A"/>
    <w:rsid w:val="00957A25"/>
    <w:rsid w:val="00957CED"/>
    <w:rsid w:val="00957E3D"/>
    <w:rsid w:val="009609B8"/>
    <w:rsid w:val="00960D97"/>
    <w:rsid w:val="00960F12"/>
    <w:rsid w:val="00961089"/>
    <w:rsid w:val="00962341"/>
    <w:rsid w:val="009630B7"/>
    <w:rsid w:val="009637BB"/>
    <w:rsid w:val="0096392C"/>
    <w:rsid w:val="00963E41"/>
    <w:rsid w:val="009642FD"/>
    <w:rsid w:val="009659A1"/>
    <w:rsid w:val="00966218"/>
    <w:rsid w:val="0096694E"/>
    <w:rsid w:val="00967B8A"/>
    <w:rsid w:val="00970550"/>
    <w:rsid w:val="0097108F"/>
    <w:rsid w:val="009711EC"/>
    <w:rsid w:val="00971951"/>
    <w:rsid w:val="0097225F"/>
    <w:rsid w:val="0097256A"/>
    <w:rsid w:val="009726FF"/>
    <w:rsid w:val="00972F09"/>
    <w:rsid w:val="00973352"/>
    <w:rsid w:val="0097366D"/>
    <w:rsid w:val="00973F24"/>
    <w:rsid w:val="009746FF"/>
    <w:rsid w:val="009748B3"/>
    <w:rsid w:val="00974E5D"/>
    <w:rsid w:val="009763EC"/>
    <w:rsid w:val="00976BAF"/>
    <w:rsid w:val="00976F22"/>
    <w:rsid w:val="00977E16"/>
    <w:rsid w:val="009811E4"/>
    <w:rsid w:val="0098152A"/>
    <w:rsid w:val="00981D04"/>
    <w:rsid w:val="00982092"/>
    <w:rsid w:val="0098218C"/>
    <w:rsid w:val="00982287"/>
    <w:rsid w:val="009831B5"/>
    <w:rsid w:val="009831B9"/>
    <w:rsid w:val="009845A5"/>
    <w:rsid w:val="00984D70"/>
    <w:rsid w:val="00984DFE"/>
    <w:rsid w:val="009850A1"/>
    <w:rsid w:val="00985355"/>
    <w:rsid w:val="00985A15"/>
    <w:rsid w:val="00985EF2"/>
    <w:rsid w:val="009865A1"/>
    <w:rsid w:val="0098670E"/>
    <w:rsid w:val="00987074"/>
    <w:rsid w:val="009879C7"/>
    <w:rsid w:val="0099139C"/>
    <w:rsid w:val="0099193F"/>
    <w:rsid w:val="0099320D"/>
    <w:rsid w:val="00993702"/>
    <w:rsid w:val="00994656"/>
    <w:rsid w:val="00994757"/>
    <w:rsid w:val="00994805"/>
    <w:rsid w:val="0099620F"/>
    <w:rsid w:val="009963F2"/>
    <w:rsid w:val="009966E0"/>
    <w:rsid w:val="00996E27"/>
    <w:rsid w:val="00996FF2"/>
    <w:rsid w:val="00997021"/>
    <w:rsid w:val="009975AF"/>
    <w:rsid w:val="009A002B"/>
    <w:rsid w:val="009A0378"/>
    <w:rsid w:val="009A1061"/>
    <w:rsid w:val="009A22D7"/>
    <w:rsid w:val="009A2F0B"/>
    <w:rsid w:val="009A32C2"/>
    <w:rsid w:val="009A4454"/>
    <w:rsid w:val="009A47A0"/>
    <w:rsid w:val="009A5600"/>
    <w:rsid w:val="009A5902"/>
    <w:rsid w:val="009A5A16"/>
    <w:rsid w:val="009A5EEC"/>
    <w:rsid w:val="009A6743"/>
    <w:rsid w:val="009A7319"/>
    <w:rsid w:val="009A7DDD"/>
    <w:rsid w:val="009A7E2A"/>
    <w:rsid w:val="009B07C7"/>
    <w:rsid w:val="009B0B58"/>
    <w:rsid w:val="009B0E37"/>
    <w:rsid w:val="009B1BE8"/>
    <w:rsid w:val="009B1FEA"/>
    <w:rsid w:val="009B24DF"/>
    <w:rsid w:val="009B24E3"/>
    <w:rsid w:val="009B2F09"/>
    <w:rsid w:val="009B430A"/>
    <w:rsid w:val="009B44B6"/>
    <w:rsid w:val="009B49B6"/>
    <w:rsid w:val="009B4A2D"/>
    <w:rsid w:val="009B5055"/>
    <w:rsid w:val="009B5477"/>
    <w:rsid w:val="009B5BAB"/>
    <w:rsid w:val="009B5DDB"/>
    <w:rsid w:val="009B5E9F"/>
    <w:rsid w:val="009B6377"/>
    <w:rsid w:val="009B6E89"/>
    <w:rsid w:val="009B7AED"/>
    <w:rsid w:val="009B7EDA"/>
    <w:rsid w:val="009B7FB1"/>
    <w:rsid w:val="009B7FBC"/>
    <w:rsid w:val="009C019B"/>
    <w:rsid w:val="009C0639"/>
    <w:rsid w:val="009C0728"/>
    <w:rsid w:val="009C0A76"/>
    <w:rsid w:val="009C0DDC"/>
    <w:rsid w:val="009C1004"/>
    <w:rsid w:val="009C134B"/>
    <w:rsid w:val="009C1802"/>
    <w:rsid w:val="009C260E"/>
    <w:rsid w:val="009C3485"/>
    <w:rsid w:val="009C3D24"/>
    <w:rsid w:val="009C3DC6"/>
    <w:rsid w:val="009C4853"/>
    <w:rsid w:val="009C511F"/>
    <w:rsid w:val="009C54BE"/>
    <w:rsid w:val="009C5E6D"/>
    <w:rsid w:val="009C5E7C"/>
    <w:rsid w:val="009C64F7"/>
    <w:rsid w:val="009C6600"/>
    <w:rsid w:val="009C672A"/>
    <w:rsid w:val="009C675A"/>
    <w:rsid w:val="009C6D0F"/>
    <w:rsid w:val="009C6E11"/>
    <w:rsid w:val="009C79EF"/>
    <w:rsid w:val="009C7CA7"/>
    <w:rsid w:val="009D0AA7"/>
    <w:rsid w:val="009D1282"/>
    <w:rsid w:val="009D1503"/>
    <w:rsid w:val="009D159D"/>
    <w:rsid w:val="009D237D"/>
    <w:rsid w:val="009D2E8E"/>
    <w:rsid w:val="009D3627"/>
    <w:rsid w:val="009D40E8"/>
    <w:rsid w:val="009D47B3"/>
    <w:rsid w:val="009D4A1C"/>
    <w:rsid w:val="009D4D71"/>
    <w:rsid w:val="009D599C"/>
    <w:rsid w:val="009D74CA"/>
    <w:rsid w:val="009D756D"/>
    <w:rsid w:val="009D769F"/>
    <w:rsid w:val="009D7BC8"/>
    <w:rsid w:val="009D7FE6"/>
    <w:rsid w:val="009E053F"/>
    <w:rsid w:val="009E055F"/>
    <w:rsid w:val="009E0B98"/>
    <w:rsid w:val="009E0BB4"/>
    <w:rsid w:val="009E275A"/>
    <w:rsid w:val="009E2D16"/>
    <w:rsid w:val="009E2D5D"/>
    <w:rsid w:val="009E2DF6"/>
    <w:rsid w:val="009E3812"/>
    <w:rsid w:val="009E395B"/>
    <w:rsid w:val="009E3963"/>
    <w:rsid w:val="009E3A3F"/>
    <w:rsid w:val="009E3C95"/>
    <w:rsid w:val="009E410C"/>
    <w:rsid w:val="009E411A"/>
    <w:rsid w:val="009E44D3"/>
    <w:rsid w:val="009E521D"/>
    <w:rsid w:val="009E6A5B"/>
    <w:rsid w:val="009E6A70"/>
    <w:rsid w:val="009E7017"/>
    <w:rsid w:val="009E7559"/>
    <w:rsid w:val="009E790B"/>
    <w:rsid w:val="009F022B"/>
    <w:rsid w:val="009F0DFE"/>
    <w:rsid w:val="009F106F"/>
    <w:rsid w:val="009F180D"/>
    <w:rsid w:val="009F1AC6"/>
    <w:rsid w:val="009F383B"/>
    <w:rsid w:val="009F46F5"/>
    <w:rsid w:val="009F4C40"/>
    <w:rsid w:val="009F4DEA"/>
    <w:rsid w:val="009F6E01"/>
    <w:rsid w:val="009F70A8"/>
    <w:rsid w:val="009F7494"/>
    <w:rsid w:val="009F7AB7"/>
    <w:rsid w:val="00A0085B"/>
    <w:rsid w:val="00A008EA"/>
    <w:rsid w:val="00A012B3"/>
    <w:rsid w:val="00A013E0"/>
    <w:rsid w:val="00A02394"/>
    <w:rsid w:val="00A025E8"/>
    <w:rsid w:val="00A02699"/>
    <w:rsid w:val="00A02F83"/>
    <w:rsid w:val="00A03590"/>
    <w:rsid w:val="00A05B0E"/>
    <w:rsid w:val="00A06387"/>
    <w:rsid w:val="00A06B04"/>
    <w:rsid w:val="00A06C49"/>
    <w:rsid w:val="00A0792C"/>
    <w:rsid w:val="00A07B00"/>
    <w:rsid w:val="00A10471"/>
    <w:rsid w:val="00A10844"/>
    <w:rsid w:val="00A10CC4"/>
    <w:rsid w:val="00A10EF2"/>
    <w:rsid w:val="00A11360"/>
    <w:rsid w:val="00A116A4"/>
    <w:rsid w:val="00A11C45"/>
    <w:rsid w:val="00A12945"/>
    <w:rsid w:val="00A13634"/>
    <w:rsid w:val="00A158CF"/>
    <w:rsid w:val="00A159EC"/>
    <w:rsid w:val="00A159F2"/>
    <w:rsid w:val="00A163B7"/>
    <w:rsid w:val="00A16733"/>
    <w:rsid w:val="00A16F9F"/>
    <w:rsid w:val="00A170D0"/>
    <w:rsid w:val="00A171B6"/>
    <w:rsid w:val="00A17247"/>
    <w:rsid w:val="00A17660"/>
    <w:rsid w:val="00A17F56"/>
    <w:rsid w:val="00A20B04"/>
    <w:rsid w:val="00A21526"/>
    <w:rsid w:val="00A215BD"/>
    <w:rsid w:val="00A21D4C"/>
    <w:rsid w:val="00A222DD"/>
    <w:rsid w:val="00A2236C"/>
    <w:rsid w:val="00A23137"/>
    <w:rsid w:val="00A23EF5"/>
    <w:rsid w:val="00A257E5"/>
    <w:rsid w:val="00A258E0"/>
    <w:rsid w:val="00A25A3C"/>
    <w:rsid w:val="00A2600B"/>
    <w:rsid w:val="00A26018"/>
    <w:rsid w:val="00A2610C"/>
    <w:rsid w:val="00A276C3"/>
    <w:rsid w:val="00A27AA5"/>
    <w:rsid w:val="00A27B71"/>
    <w:rsid w:val="00A27B85"/>
    <w:rsid w:val="00A27F82"/>
    <w:rsid w:val="00A3030D"/>
    <w:rsid w:val="00A305B5"/>
    <w:rsid w:val="00A31950"/>
    <w:rsid w:val="00A31A12"/>
    <w:rsid w:val="00A31D02"/>
    <w:rsid w:val="00A31E5F"/>
    <w:rsid w:val="00A322B8"/>
    <w:rsid w:val="00A33B4F"/>
    <w:rsid w:val="00A340E8"/>
    <w:rsid w:val="00A34435"/>
    <w:rsid w:val="00A347D6"/>
    <w:rsid w:val="00A34E73"/>
    <w:rsid w:val="00A353F3"/>
    <w:rsid w:val="00A35D63"/>
    <w:rsid w:val="00A36D2E"/>
    <w:rsid w:val="00A370D6"/>
    <w:rsid w:val="00A372AB"/>
    <w:rsid w:val="00A37579"/>
    <w:rsid w:val="00A37609"/>
    <w:rsid w:val="00A37A6F"/>
    <w:rsid w:val="00A4030A"/>
    <w:rsid w:val="00A40E75"/>
    <w:rsid w:val="00A40FE7"/>
    <w:rsid w:val="00A413FA"/>
    <w:rsid w:val="00A41A04"/>
    <w:rsid w:val="00A431DB"/>
    <w:rsid w:val="00A432B7"/>
    <w:rsid w:val="00A44019"/>
    <w:rsid w:val="00A44749"/>
    <w:rsid w:val="00A44DEE"/>
    <w:rsid w:val="00A44E66"/>
    <w:rsid w:val="00A45638"/>
    <w:rsid w:val="00A459DB"/>
    <w:rsid w:val="00A45F4A"/>
    <w:rsid w:val="00A4666A"/>
    <w:rsid w:val="00A46FEB"/>
    <w:rsid w:val="00A50CCE"/>
    <w:rsid w:val="00A50E79"/>
    <w:rsid w:val="00A51121"/>
    <w:rsid w:val="00A518B2"/>
    <w:rsid w:val="00A51B81"/>
    <w:rsid w:val="00A52902"/>
    <w:rsid w:val="00A52ACC"/>
    <w:rsid w:val="00A5338B"/>
    <w:rsid w:val="00A53468"/>
    <w:rsid w:val="00A538AB"/>
    <w:rsid w:val="00A53954"/>
    <w:rsid w:val="00A53CB3"/>
    <w:rsid w:val="00A53D85"/>
    <w:rsid w:val="00A540A4"/>
    <w:rsid w:val="00A546B5"/>
    <w:rsid w:val="00A54E48"/>
    <w:rsid w:val="00A55807"/>
    <w:rsid w:val="00A56189"/>
    <w:rsid w:val="00A56472"/>
    <w:rsid w:val="00A573CF"/>
    <w:rsid w:val="00A5741E"/>
    <w:rsid w:val="00A5746F"/>
    <w:rsid w:val="00A57745"/>
    <w:rsid w:val="00A57D94"/>
    <w:rsid w:val="00A60101"/>
    <w:rsid w:val="00A6043E"/>
    <w:rsid w:val="00A609D1"/>
    <w:rsid w:val="00A60C36"/>
    <w:rsid w:val="00A60FDC"/>
    <w:rsid w:val="00A615AB"/>
    <w:rsid w:val="00A61D5D"/>
    <w:rsid w:val="00A625D3"/>
    <w:rsid w:val="00A628C8"/>
    <w:rsid w:val="00A6352D"/>
    <w:rsid w:val="00A63C2F"/>
    <w:rsid w:val="00A6451A"/>
    <w:rsid w:val="00A64920"/>
    <w:rsid w:val="00A658C7"/>
    <w:rsid w:val="00A65DD0"/>
    <w:rsid w:val="00A65ECF"/>
    <w:rsid w:val="00A65EE9"/>
    <w:rsid w:val="00A65FEE"/>
    <w:rsid w:val="00A67CA9"/>
    <w:rsid w:val="00A67CE7"/>
    <w:rsid w:val="00A67F29"/>
    <w:rsid w:val="00A709DC"/>
    <w:rsid w:val="00A717B4"/>
    <w:rsid w:val="00A71D85"/>
    <w:rsid w:val="00A71F6E"/>
    <w:rsid w:val="00A71FB3"/>
    <w:rsid w:val="00A72161"/>
    <w:rsid w:val="00A721D8"/>
    <w:rsid w:val="00A724D8"/>
    <w:rsid w:val="00A734A1"/>
    <w:rsid w:val="00A73E75"/>
    <w:rsid w:val="00A743E4"/>
    <w:rsid w:val="00A74674"/>
    <w:rsid w:val="00A74AF3"/>
    <w:rsid w:val="00A74CAF"/>
    <w:rsid w:val="00A757B6"/>
    <w:rsid w:val="00A757F4"/>
    <w:rsid w:val="00A80662"/>
    <w:rsid w:val="00A807BE"/>
    <w:rsid w:val="00A80B73"/>
    <w:rsid w:val="00A819E8"/>
    <w:rsid w:val="00A82820"/>
    <w:rsid w:val="00A82F6B"/>
    <w:rsid w:val="00A83456"/>
    <w:rsid w:val="00A83BE4"/>
    <w:rsid w:val="00A83DA5"/>
    <w:rsid w:val="00A83F64"/>
    <w:rsid w:val="00A84707"/>
    <w:rsid w:val="00A84FAE"/>
    <w:rsid w:val="00A85FA3"/>
    <w:rsid w:val="00A862C9"/>
    <w:rsid w:val="00A86545"/>
    <w:rsid w:val="00A869D5"/>
    <w:rsid w:val="00A86E8C"/>
    <w:rsid w:val="00A87017"/>
    <w:rsid w:val="00A8788C"/>
    <w:rsid w:val="00A905EC"/>
    <w:rsid w:val="00A91873"/>
    <w:rsid w:val="00A91BF9"/>
    <w:rsid w:val="00A92648"/>
    <w:rsid w:val="00A92B28"/>
    <w:rsid w:val="00A934DE"/>
    <w:rsid w:val="00A94196"/>
    <w:rsid w:val="00A948DC"/>
    <w:rsid w:val="00A95202"/>
    <w:rsid w:val="00A96165"/>
    <w:rsid w:val="00A9624A"/>
    <w:rsid w:val="00A96B1F"/>
    <w:rsid w:val="00A96BA5"/>
    <w:rsid w:val="00A96DD7"/>
    <w:rsid w:val="00A974F4"/>
    <w:rsid w:val="00AA03C7"/>
    <w:rsid w:val="00AA0409"/>
    <w:rsid w:val="00AA0779"/>
    <w:rsid w:val="00AA07D5"/>
    <w:rsid w:val="00AA0B22"/>
    <w:rsid w:val="00AA13B3"/>
    <w:rsid w:val="00AA1AC2"/>
    <w:rsid w:val="00AA1DF8"/>
    <w:rsid w:val="00AA2332"/>
    <w:rsid w:val="00AA2B27"/>
    <w:rsid w:val="00AA3815"/>
    <w:rsid w:val="00AA3CDD"/>
    <w:rsid w:val="00AA3FF7"/>
    <w:rsid w:val="00AA4A65"/>
    <w:rsid w:val="00AA505C"/>
    <w:rsid w:val="00AA5140"/>
    <w:rsid w:val="00AA5567"/>
    <w:rsid w:val="00AA55AF"/>
    <w:rsid w:val="00AA5818"/>
    <w:rsid w:val="00AA5A67"/>
    <w:rsid w:val="00AA5E24"/>
    <w:rsid w:val="00AA6795"/>
    <w:rsid w:val="00AA7209"/>
    <w:rsid w:val="00AA750D"/>
    <w:rsid w:val="00AA7CFB"/>
    <w:rsid w:val="00AB0BD7"/>
    <w:rsid w:val="00AB0E29"/>
    <w:rsid w:val="00AB0E7A"/>
    <w:rsid w:val="00AB0EFA"/>
    <w:rsid w:val="00AB11BA"/>
    <w:rsid w:val="00AB1C6C"/>
    <w:rsid w:val="00AB2433"/>
    <w:rsid w:val="00AB3278"/>
    <w:rsid w:val="00AB35F2"/>
    <w:rsid w:val="00AB3CBE"/>
    <w:rsid w:val="00AB4C4D"/>
    <w:rsid w:val="00AB4C8E"/>
    <w:rsid w:val="00AB4EA1"/>
    <w:rsid w:val="00AB50E7"/>
    <w:rsid w:val="00AB54ED"/>
    <w:rsid w:val="00AB568F"/>
    <w:rsid w:val="00AB5F7C"/>
    <w:rsid w:val="00AB6031"/>
    <w:rsid w:val="00AB6BBB"/>
    <w:rsid w:val="00AB7168"/>
    <w:rsid w:val="00AB718F"/>
    <w:rsid w:val="00AB7A81"/>
    <w:rsid w:val="00AC05B0"/>
    <w:rsid w:val="00AC0838"/>
    <w:rsid w:val="00AC1317"/>
    <w:rsid w:val="00AC22BF"/>
    <w:rsid w:val="00AC23F9"/>
    <w:rsid w:val="00AC2AC5"/>
    <w:rsid w:val="00AC2B6E"/>
    <w:rsid w:val="00AC33A1"/>
    <w:rsid w:val="00AC3A66"/>
    <w:rsid w:val="00AC3E81"/>
    <w:rsid w:val="00AC4875"/>
    <w:rsid w:val="00AC4A9B"/>
    <w:rsid w:val="00AC53C1"/>
    <w:rsid w:val="00AC53E0"/>
    <w:rsid w:val="00AC5C0D"/>
    <w:rsid w:val="00AC5DC1"/>
    <w:rsid w:val="00AC6369"/>
    <w:rsid w:val="00AC6577"/>
    <w:rsid w:val="00AC66AA"/>
    <w:rsid w:val="00AC6F2E"/>
    <w:rsid w:val="00AC7367"/>
    <w:rsid w:val="00AD0B00"/>
    <w:rsid w:val="00AD0BCD"/>
    <w:rsid w:val="00AD0EED"/>
    <w:rsid w:val="00AD1C6B"/>
    <w:rsid w:val="00AD2446"/>
    <w:rsid w:val="00AD290A"/>
    <w:rsid w:val="00AD2CE1"/>
    <w:rsid w:val="00AD3150"/>
    <w:rsid w:val="00AD4880"/>
    <w:rsid w:val="00AD4E68"/>
    <w:rsid w:val="00AD5936"/>
    <w:rsid w:val="00AD595D"/>
    <w:rsid w:val="00AD5CF8"/>
    <w:rsid w:val="00AD6352"/>
    <w:rsid w:val="00AD66A1"/>
    <w:rsid w:val="00AD66C5"/>
    <w:rsid w:val="00AD68D8"/>
    <w:rsid w:val="00AD6912"/>
    <w:rsid w:val="00AD7965"/>
    <w:rsid w:val="00AD7B7E"/>
    <w:rsid w:val="00AD7DC2"/>
    <w:rsid w:val="00AD7E24"/>
    <w:rsid w:val="00AE038B"/>
    <w:rsid w:val="00AE1326"/>
    <w:rsid w:val="00AE2C1B"/>
    <w:rsid w:val="00AE3AB7"/>
    <w:rsid w:val="00AE3CD6"/>
    <w:rsid w:val="00AE4AEF"/>
    <w:rsid w:val="00AE50A8"/>
    <w:rsid w:val="00AE5658"/>
    <w:rsid w:val="00AE7095"/>
    <w:rsid w:val="00AE79CA"/>
    <w:rsid w:val="00AE7D6D"/>
    <w:rsid w:val="00AF007F"/>
    <w:rsid w:val="00AF0841"/>
    <w:rsid w:val="00AF1AF0"/>
    <w:rsid w:val="00AF2239"/>
    <w:rsid w:val="00AF2F33"/>
    <w:rsid w:val="00AF3009"/>
    <w:rsid w:val="00AF3E4C"/>
    <w:rsid w:val="00AF4850"/>
    <w:rsid w:val="00AF4A0D"/>
    <w:rsid w:val="00AF5011"/>
    <w:rsid w:val="00AF52F0"/>
    <w:rsid w:val="00AF5D49"/>
    <w:rsid w:val="00AF680E"/>
    <w:rsid w:val="00AF7065"/>
    <w:rsid w:val="00AF7154"/>
    <w:rsid w:val="00AF7677"/>
    <w:rsid w:val="00AF7B78"/>
    <w:rsid w:val="00AF7CC8"/>
    <w:rsid w:val="00B00248"/>
    <w:rsid w:val="00B00ED2"/>
    <w:rsid w:val="00B025AF"/>
    <w:rsid w:val="00B027B5"/>
    <w:rsid w:val="00B02A79"/>
    <w:rsid w:val="00B02ABA"/>
    <w:rsid w:val="00B02B12"/>
    <w:rsid w:val="00B02EE1"/>
    <w:rsid w:val="00B03BC3"/>
    <w:rsid w:val="00B05DCD"/>
    <w:rsid w:val="00B06A3F"/>
    <w:rsid w:val="00B0716F"/>
    <w:rsid w:val="00B0743A"/>
    <w:rsid w:val="00B07B46"/>
    <w:rsid w:val="00B1025F"/>
    <w:rsid w:val="00B10770"/>
    <w:rsid w:val="00B1099A"/>
    <w:rsid w:val="00B12428"/>
    <w:rsid w:val="00B12479"/>
    <w:rsid w:val="00B1263C"/>
    <w:rsid w:val="00B127DA"/>
    <w:rsid w:val="00B13D3C"/>
    <w:rsid w:val="00B13E48"/>
    <w:rsid w:val="00B13FDF"/>
    <w:rsid w:val="00B146F3"/>
    <w:rsid w:val="00B157BD"/>
    <w:rsid w:val="00B160E3"/>
    <w:rsid w:val="00B1673E"/>
    <w:rsid w:val="00B17AF3"/>
    <w:rsid w:val="00B17B0F"/>
    <w:rsid w:val="00B20579"/>
    <w:rsid w:val="00B20D2F"/>
    <w:rsid w:val="00B213C0"/>
    <w:rsid w:val="00B214EC"/>
    <w:rsid w:val="00B2182D"/>
    <w:rsid w:val="00B21A24"/>
    <w:rsid w:val="00B21CF0"/>
    <w:rsid w:val="00B22082"/>
    <w:rsid w:val="00B22D79"/>
    <w:rsid w:val="00B2329F"/>
    <w:rsid w:val="00B23378"/>
    <w:rsid w:val="00B23D54"/>
    <w:rsid w:val="00B2427F"/>
    <w:rsid w:val="00B24752"/>
    <w:rsid w:val="00B2570D"/>
    <w:rsid w:val="00B25B8A"/>
    <w:rsid w:val="00B26018"/>
    <w:rsid w:val="00B27D40"/>
    <w:rsid w:val="00B30552"/>
    <w:rsid w:val="00B305A3"/>
    <w:rsid w:val="00B30937"/>
    <w:rsid w:val="00B30C89"/>
    <w:rsid w:val="00B30F5F"/>
    <w:rsid w:val="00B31013"/>
    <w:rsid w:val="00B317A1"/>
    <w:rsid w:val="00B31B86"/>
    <w:rsid w:val="00B31F5A"/>
    <w:rsid w:val="00B332CA"/>
    <w:rsid w:val="00B334E3"/>
    <w:rsid w:val="00B33F8B"/>
    <w:rsid w:val="00B34F71"/>
    <w:rsid w:val="00B358CC"/>
    <w:rsid w:val="00B364D0"/>
    <w:rsid w:val="00B36BAC"/>
    <w:rsid w:val="00B36F25"/>
    <w:rsid w:val="00B3717C"/>
    <w:rsid w:val="00B379A2"/>
    <w:rsid w:val="00B408D5"/>
    <w:rsid w:val="00B4177F"/>
    <w:rsid w:val="00B41D82"/>
    <w:rsid w:val="00B41F69"/>
    <w:rsid w:val="00B4203D"/>
    <w:rsid w:val="00B4225A"/>
    <w:rsid w:val="00B439DA"/>
    <w:rsid w:val="00B43B67"/>
    <w:rsid w:val="00B4437B"/>
    <w:rsid w:val="00B4475B"/>
    <w:rsid w:val="00B44AD5"/>
    <w:rsid w:val="00B453AD"/>
    <w:rsid w:val="00B459E8"/>
    <w:rsid w:val="00B45AEC"/>
    <w:rsid w:val="00B45CB0"/>
    <w:rsid w:val="00B45D4E"/>
    <w:rsid w:val="00B46007"/>
    <w:rsid w:val="00B464DE"/>
    <w:rsid w:val="00B46C1F"/>
    <w:rsid w:val="00B47411"/>
    <w:rsid w:val="00B474A2"/>
    <w:rsid w:val="00B47801"/>
    <w:rsid w:val="00B47E09"/>
    <w:rsid w:val="00B47E49"/>
    <w:rsid w:val="00B50258"/>
    <w:rsid w:val="00B51BF8"/>
    <w:rsid w:val="00B51D47"/>
    <w:rsid w:val="00B51EEB"/>
    <w:rsid w:val="00B530BA"/>
    <w:rsid w:val="00B53B0B"/>
    <w:rsid w:val="00B54044"/>
    <w:rsid w:val="00B551C6"/>
    <w:rsid w:val="00B5538C"/>
    <w:rsid w:val="00B5540D"/>
    <w:rsid w:val="00B5677D"/>
    <w:rsid w:val="00B56A3C"/>
    <w:rsid w:val="00B572AE"/>
    <w:rsid w:val="00B5772A"/>
    <w:rsid w:val="00B577ED"/>
    <w:rsid w:val="00B578BF"/>
    <w:rsid w:val="00B57D96"/>
    <w:rsid w:val="00B6018A"/>
    <w:rsid w:val="00B6049A"/>
    <w:rsid w:val="00B60734"/>
    <w:rsid w:val="00B61A10"/>
    <w:rsid w:val="00B62AB5"/>
    <w:rsid w:val="00B63403"/>
    <w:rsid w:val="00B637FD"/>
    <w:rsid w:val="00B63A24"/>
    <w:rsid w:val="00B63B9E"/>
    <w:rsid w:val="00B63C8C"/>
    <w:rsid w:val="00B63F61"/>
    <w:rsid w:val="00B649BB"/>
    <w:rsid w:val="00B65084"/>
    <w:rsid w:val="00B65101"/>
    <w:rsid w:val="00B65290"/>
    <w:rsid w:val="00B65630"/>
    <w:rsid w:val="00B65F8D"/>
    <w:rsid w:val="00B6665A"/>
    <w:rsid w:val="00B668E7"/>
    <w:rsid w:val="00B66A0E"/>
    <w:rsid w:val="00B671D3"/>
    <w:rsid w:val="00B6774B"/>
    <w:rsid w:val="00B7008F"/>
    <w:rsid w:val="00B7053B"/>
    <w:rsid w:val="00B70A12"/>
    <w:rsid w:val="00B71444"/>
    <w:rsid w:val="00B71D0B"/>
    <w:rsid w:val="00B72BB9"/>
    <w:rsid w:val="00B73722"/>
    <w:rsid w:val="00B73E73"/>
    <w:rsid w:val="00B73EC8"/>
    <w:rsid w:val="00B74034"/>
    <w:rsid w:val="00B7423A"/>
    <w:rsid w:val="00B7476A"/>
    <w:rsid w:val="00B747AB"/>
    <w:rsid w:val="00B74A08"/>
    <w:rsid w:val="00B74CF1"/>
    <w:rsid w:val="00B75B11"/>
    <w:rsid w:val="00B7655C"/>
    <w:rsid w:val="00B76915"/>
    <w:rsid w:val="00B7692A"/>
    <w:rsid w:val="00B76AB5"/>
    <w:rsid w:val="00B771EE"/>
    <w:rsid w:val="00B77B37"/>
    <w:rsid w:val="00B77CD2"/>
    <w:rsid w:val="00B800F6"/>
    <w:rsid w:val="00B802B3"/>
    <w:rsid w:val="00B80790"/>
    <w:rsid w:val="00B809A8"/>
    <w:rsid w:val="00B80F9D"/>
    <w:rsid w:val="00B80FE0"/>
    <w:rsid w:val="00B8112E"/>
    <w:rsid w:val="00B81975"/>
    <w:rsid w:val="00B81E5E"/>
    <w:rsid w:val="00B821EE"/>
    <w:rsid w:val="00B82A39"/>
    <w:rsid w:val="00B838DD"/>
    <w:rsid w:val="00B845E7"/>
    <w:rsid w:val="00B849DC"/>
    <w:rsid w:val="00B8528D"/>
    <w:rsid w:val="00B85B18"/>
    <w:rsid w:val="00B863DD"/>
    <w:rsid w:val="00B86790"/>
    <w:rsid w:val="00B86ECC"/>
    <w:rsid w:val="00B87501"/>
    <w:rsid w:val="00B87EBA"/>
    <w:rsid w:val="00B90EFA"/>
    <w:rsid w:val="00B912CD"/>
    <w:rsid w:val="00B91688"/>
    <w:rsid w:val="00B916B5"/>
    <w:rsid w:val="00B916E4"/>
    <w:rsid w:val="00B917AE"/>
    <w:rsid w:val="00B926BF"/>
    <w:rsid w:val="00B931FF"/>
    <w:rsid w:val="00B93751"/>
    <w:rsid w:val="00B939C2"/>
    <w:rsid w:val="00B93A45"/>
    <w:rsid w:val="00B94660"/>
    <w:rsid w:val="00B9508C"/>
    <w:rsid w:val="00B95C8A"/>
    <w:rsid w:val="00B9631D"/>
    <w:rsid w:val="00B9634C"/>
    <w:rsid w:val="00B9640B"/>
    <w:rsid w:val="00B9675B"/>
    <w:rsid w:val="00B97698"/>
    <w:rsid w:val="00BA0F96"/>
    <w:rsid w:val="00BA1171"/>
    <w:rsid w:val="00BA1ADB"/>
    <w:rsid w:val="00BA1CD6"/>
    <w:rsid w:val="00BA2921"/>
    <w:rsid w:val="00BA2DC6"/>
    <w:rsid w:val="00BA30C8"/>
    <w:rsid w:val="00BA3C52"/>
    <w:rsid w:val="00BA49AD"/>
    <w:rsid w:val="00BA4D9B"/>
    <w:rsid w:val="00BA5529"/>
    <w:rsid w:val="00BA57E5"/>
    <w:rsid w:val="00BA6108"/>
    <w:rsid w:val="00BA676A"/>
    <w:rsid w:val="00BA77EF"/>
    <w:rsid w:val="00BB015E"/>
    <w:rsid w:val="00BB0C86"/>
    <w:rsid w:val="00BB100F"/>
    <w:rsid w:val="00BB129E"/>
    <w:rsid w:val="00BB15D8"/>
    <w:rsid w:val="00BB1E5D"/>
    <w:rsid w:val="00BB2219"/>
    <w:rsid w:val="00BB2328"/>
    <w:rsid w:val="00BB2BC8"/>
    <w:rsid w:val="00BB3266"/>
    <w:rsid w:val="00BB3526"/>
    <w:rsid w:val="00BB3B24"/>
    <w:rsid w:val="00BB3EDA"/>
    <w:rsid w:val="00BB4114"/>
    <w:rsid w:val="00BB42C5"/>
    <w:rsid w:val="00BB4459"/>
    <w:rsid w:val="00BB49D5"/>
    <w:rsid w:val="00BB50AC"/>
    <w:rsid w:val="00BB5739"/>
    <w:rsid w:val="00BB5932"/>
    <w:rsid w:val="00BB5D5C"/>
    <w:rsid w:val="00BB771F"/>
    <w:rsid w:val="00BC01A5"/>
    <w:rsid w:val="00BC05E0"/>
    <w:rsid w:val="00BC23FF"/>
    <w:rsid w:val="00BC3414"/>
    <w:rsid w:val="00BC42A4"/>
    <w:rsid w:val="00BC45B6"/>
    <w:rsid w:val="00BC477C"/>
    <w:rsid w:val="00BC4D3B"/>
    <w:rsid w:val="00BC534E"/>
    <w:rsid w:val="00BC5684"/>
    <w:rsid w:val="00BC5833"/>
    <w:rsid w:val="00BC5AFB"/>
    <w:rsid w:val="00BC619A"/>
    <w:rsid w:val="00BC6643"/>
    <w:rsid w:val="00BC6994"/>
    <w:rsid w:val="00BC6E83"/>
    <w:rsid w:val="00BC6EA0"/>
    <w:rsid w:val="00BC7868"/>
    <w:rsid w:val="00BD0A58"/>
    <w:rsid w:val="00BD109D"/>
    <w:rsid w:val="00BD123D"/>
    <w:rsid w:val="00BD12A4"/>
    <w:rsid w:val="00BD1349"/>
    <w:rsid w:val="00BD1C9E"/>
    <w:rsid w:val="00BD20A5"/>
    <w:rsid w:val="00BD240E"/>
    <w:rsid w:val="00BD2E23"/>
    <w:rsid w:val="00BD32CC"/>
    <w:rsid w:val="00BD32DE"/>
    <w:rsid w:val="00BD3BEF"/>
    <w:rsid w:val="00BD3F1D"/>
    <w:rsid w:val="00BD4536"/>
    <w:rsid w:val="00BD45C7"/>
    <w:rsid w:val="00BD481E"/>
    <w:rsid w:val="00BD497F"/>
    <w:rsid w:val="00BD5709"/>
    <w:rsid w:val="00BD5780"/>
    <w:rsid w:val="00BD57CD"/>
    <w:rsid w:val="00BD593D"/>
    <w:rsid w:val="00BD5B71"/>
    <w:rsid w:val="00BD5C8B"/>
    <w:rsid w:val="00BD5E20"/>
    <w:rsid w:val="00BD5FF0"/>
    <w:rsid w:val="00BD61AA"/>
    <w:rsid w:val="00BD64BF"/>
    <w:rsid w:val="00BD6A5C"/>
    <w:rsid w:val="00BD77BD"/>
    <w:rsid w:val="00BE019F"/>
    <w:rsid w:val="00BE12B6"/>
    <w:rsid w:val="00BE2304"/>
    <w:rsid w:val="00BE368E"/>
    <w:rsid w:val="00BE410D"/>
    <w:rsid w:val="00BE41FE"/>
    <w:rsid w:val="00BE461E"/>
    <w:rsid w:val="00BE466F"/>
    <w:rsid w:val="00BE5A71"/>
    <w:rsid w:val="00BE6D04"/>
    <w:rsid w:val="00BE709D"/>
    <w:rsid w:val="00BE72B4"/>
    <w:rsid w:val="00BE7C98"/>
    <w:rsid w:val="00BE7D79"/>
    <w:rsid w:val="00BF09B2"/>
    <w:rsid w:val="00BF0D83"/>
    <w:rsid w:val="00BF0E49"/>
    <w:rsid w:val="00BF1328"/>
    <w:rsid w:val="00BF196E"/>
    <w:rsid w:val="00BF2000"/>
    <w:rsid w:val="00BF2EB5"/>
    <w:rsid w:val="00BF3F6F"/>
    <w:rsid w:val="00BF467B"/>
    <w:rsid w:val="00BF4BE5"/>
    <w:rsid w:val="00BF4D01"/>
    <w:rsid w:val="00BF4F9C"/>
    <w:rsid w:val="00BF5368"/>
    <w:rsid w:val="00BF6236"/>
    <w:rsid w:val="00BF62F8"/>
    <w:rsid w:val="00BF6314"/>
    <w:rsid w:val="00BF64A1"/>
    <w:rsid w:val="00BF674B"/>
    <w:rsid w:val="00BF6A97"/>
    <w:rsid w:val="00BF763B"/>
    <w:rsid w:val="00BF7D7E"/>
    <w:rsid w:val="00C001D7"/>
    <w:rsid w:val="00C00575"/>
    <w:rsid w:val="00C01243"/>
    <w:rsid w:val="00C01679"/>
    <w:rsid w:val="00C01A7C"/>
    <w:rsid w:val="00C025DA"/>
    <w:rsid w:val="00C02916"/>
    <w:rsid w:val="00C02CB4"/>
    <w:rsid w:val="00C02D76"/>
    <w:rsid w:val="00C03454"/>
    <w:rsid w:val="00C034F1"/>
    <w:rsid w:val="00C03B3C"/>
    <w:rsid w:val="00C03BCC"/>
    <w:rsid w:val="00C03C56"/>
    <w:rsid w:val="00C04011"/>
    <w:rsid w:val="00C0488C"/>
    <w:rsid w:val="00C04AC7"/>
    <w:rsid w:val="00C05878"/>
    <w:rsid w:val="00C05D21"/>
    <w:rsid w:val="00C06322"/>
    <w:rsid w:val="00C06934"/>
    <w:rsid w:val="00C069D1"/>
    <w:rsid w:val="00C06B3D"/>
    <w:rsid w:val="00C072A2"/>
    <w:rsid w:val="00C07598"/>
    <w:rsid w:val="00C107A4"/>
    <w:rsid w:val="00C10B8B"/>
    <w:rsid w:val="00C10D80"/>
    <w:rsid w:val="00C112E2"/>
    <w:rsid w:val="00C113AB"/>
    <w:rsid w:val="00C11DD7"/>
    <w:rsid w:val="00C122F3"/>
    <w:rsid w:val="00C12EF5"/>
    <w:rsid w:val="00C13092"/>
    <w:rsid w:val="00C142C5"/>
    <w:rsid w:val="00C147CA"/>
    <w:rsid w:val="00C14AFC"/>
    <w:rsid w:val="00C14D55"/>
    <w:rsid w:val="00C14FB2"/>
    <w:rsid w:val="00C150A2"/>
    <w:rsid w:val="00C15C83"/>
    <w:rsid w:val="00C1634C"/>
    <w:rsid w:val="00C16D3D"/>
    <w:rsid w:val="00C16F9F"/>
    <w:rsid w:val="00C1727F"/>
    <w:rsid w:val="00C17382"/>
    <w:rsid w:val="00C17D70"/>
    <w:rsid w:val="00C17F9B"/>
    <w:rsid w:val="00C207A8"/>
    <w:rsid w:val="00C20E99"/>
    <w:rsid w:val="00C21289"/>
    <w:rsid w:val="00C214B1"/>
    <w:rsid w:val="00C219F3"/>
    <w:rsid w:val="00C22197"/>
    <w:rsid w:val="00C2272C"/>
    <w:rsid w:val="00C22B8E"/>
    <w:rsid w:val="00C22E06"/>
    <w:rsid w:val="00C23978"/>
    <w:rsid w:val="00C248A0"/>
    <w:rsid w:val="00C24987"/>
    <w:rsid w:val="00C25001"/>
    <w:rsid w:val="00C253EE"/>
    <w:rsid w:val="00C2548E"/>
    <w:rsid w:val="00C254C9"/>
    <w:rsid w:val="00C26D37"/>
    <w:rsid w:val="00C26D99"/>
    <w:rsid w:val="00C272A4"/>
    <w:rsid w:val="00C2783C"/>
    <w:rsid w:val="00C27BFA"/>
    <w:rsid w:val="00C27C47"/>
    <w:rsid w:val="00C30CA4"/>
    <w:rsid w:val="00C30DD1"/>
    <w:rsid w:val="00C31191"/>
    <w:rsid w:val="00C318D8"/>
    <w:rsid w:val="00C31C2C"/>
    <w:rsid w:val="00C31D1E"/>
    <w:rsid w:val="00C3264A"/>
    <w:rsid w:val="00C32850"/>
    <w:rsid w:val="00C33310"/>
    <w:rsid w:val="00C333F0"/>
    <w:rsid w:val="00C33692"/>
    <w:rsid w:val="00C33941"/>
    <w:rsid w:val="00C34606"/>
    <w:rsid w:val="00C34642"/>
    <w:rsid w:val="00C348C8"/>
    <w:rsid w:val="00C34B98"/>
    <w:rsid w:val="00C354B7"/>
    <w:rsid w:val="00C3597A"/>
    <w:rsid w:val="00C365E0"/>
    <w:rsid w:val="00C36A7E"/>
    <w:rsid w:val="00C36D4A"/>
    <w:rsid w:val="00C36EE6"/>
    <w:rsid w:val="00C37852"/>
    <w:rsid w:val="00C37868"/>
    <w:rsid w:val="00C37F9B"/>
    <w:rsid w:val="00C4006E"/>
    <w:rsid w:val="00C40FBF"/>
    <w:rsid w:val="00C41198"/>
    <w:rsid w:val="00C412A0"/>
    <w:rsid w:val="00C415B2"/>
    <w:rsid w:val="00C42566"/>
    <w:rsid w:val="00C42AAB"/>
    <w:rsid w:val="00C42ED9"/>
    <w:rsid w:val="00C43888"/>
    <w:rsid w:val="00C43960"/>
    <w:rsid w:val="00C44624"/>
    <w:rsid w:val="00C44CE7"/>
    <w:rsid w:val="00C458F5"/>
    <w:rsid w:val="00C45DAC"/>
    <w:rsid w:val="00C46544"/>
    <w:rsid w:val="00C46D91"/>
    <w:rsid w:val="00C47314"/>
    <w:rsid w:val="00C475C2"/>
    <w:rsid w:val="00C47685"/>
    <w:rsid w:val="00C47F16"/>
    <w:rsid w:val="00C50367"/>
    <w:rsid w:val="00C503E3"/>
    <w:rsid w:val="00C50CA3"/>
    <w:rsid w:val="00C50DE8"/>
    <w:rsid w:val="00C51355"/>
    <w:rsid w:val="00C52243"/>
    <w:rsid w:val="00C527D6"/>
    <w:rsid w:val="00C52C52"/>
    <w:rsid w:val="00C5352A"/>
    <w:rsid w:val="00C53A2C"/>
    <w:rsid w:val="00C53D38"/>
    <w:rsid w:val="00C546C9"/>
    <w:rsid w:val="00C54981"/>
    <w:rsid w:val="00C5527D"/>
    <w:rsid w:val="00C556A1"/>
    <w:rsid w:val="00C558C4"/>
    <w:rsid w:val="00C55B85"/>
    <w:rsid w:val="00C55B8D"/>
    <w:rsid w:val="00C55CC1"/>
    <w:rsid w:val="00C55FE4"/>
    <w:rsid w:val="00C5615A"/>
    <w:rsid w:val="00C56334"/>
    <w:rsid w:val="00C56434"/>
    <w:rsid w:val="00C56CC5"/>
    <w:rsid w:val="00C56EBB"/>
    <w:rsid w:val="00C57081"/>
    <w:rsid w:val="00C5785C"/>
    <w:rsid w:val="00C57D77"/>
    <w:rsid w:val="00C600C8"/>
    <w:rsid w:val="00C60253"/>
    <w:rsid w:val="00C607E7"/>
    <w:rsid w:val="00C60DDE"/>
    <w:rsid w:val="00C61234"/>
    <w:rsid w:val="00C6164A"/>
    <w:rsid w:val="00C6241A"/>
    <w:rsid w:val="00C62748"/>
    <w:rsid w:val="00C62872"/>
    <w:rsid w:val="00C63F9F"/>
    <w:rsid w:val="00C640E8"/>
    <w:rsid w:val="00C64208"/>
    <w:rsid w:val="00C652D8"/>
    <w:rsid w:val="00C65340"/>
    <w:rsid w:val="00C65B67"/>
    <w:rsid w:val="00C65CFB"/>
    <w:rsid w:val="00C661FB"/>
    <w:rsid w:val="00C6652C"/>
    <w:rsid w:val="00C671A2"/>
    <w:rsid w:val="00C67241"/>
    <w:rsid w:val="00C6747C"/>
    <w:rsid w:val="00C67E04"/>
    <w:rsid w:val="00C7028B"/>
    <w:rsid w:val="00C703A0"/>
    <w:rsid w:val="00C70E05"/>
    <w:rsid w:val="00C718D2"/>
    <w:rsid w:val="00C71A4A"/>
    <w:rsid w:val="00C72689"/>
    <w:rsid w:val="00C72F3B"/>
    <w:rsid w:val="00C73AF9"/>
    <w:rsid w:val="00C73DDB"/>
    <w:rsid w:val="00C743AF"/>
    <w:rsid w:val="00C74C48"/>
    <w:rsid w:val="00C74CAB"/>
    <w:rsid w:val="00C74DFB"/>
    <w:rsid w:val="00C75318"/>
    <w:rsid w:val="00C75C52"/>
    <w:rsid w:val="00C75E3E"/>
    <w:rsid w:val="00C760F1"/>
    <w:rsid w:val="00C76AF9"/>
    <w:rsid w:val="00C7706E"/>
    <w:rsid w:val="00C77429"/>
    <w:rsid w:val="00C77C99"/>
    <w:rsid w:val="00C80582"/>
    <w:rsid w:val="00C8105E"/>
    <w:rsid w:val="00C81C35"/>
    <w:rsid w:val="00C8281E"/>
    <w:rsid w:val="00C82C03"/>
    <w:rsid w:val="00C83744"/>
    <w:rsid w:val="00C84AFA"/>
    <w:rsid w:val="00C85F39"/>
    <w:rsid w:val="00C863E0"/>
    <w:rsid w:val="00C86A21"/>
    <w:rsid w:val="00C86FD2"/>
    <w:rsid w:val="00C8722B"/>
    <w:rsid w:val="00C90353"/>
    <w:rsid w:val="00C915A5"/>
    <w:rsid w:val="00C91DAB"/>
    <w:rsid w:val="00C92136"/>
    <w:rsid w:val="00C92409"/>
    <w:rsid w:val="00C92654"/>
    <w:rsid w:val="00C92737"/>
    <w:rsid w:val="00C93445"/>
    <w:rsid w:val="00C968E7"/>
    <w:rsid w:val="00C96CAB"/>
    <w:rsid w:val="00C97FA9"/>
    <w:rsid w:val="00CA0A62"/>
    <w:rsid w:val="00CA1270"/>
    <w:rsid w:val="00CA2261"/>
    <w:rsid w:val="00CA38C5"/>
    <w:rsid w:val="00CA3E80"/>
    <w:rsid w:val="00CA41E1"/>
    <w:rsid w:val="00CA4507"/>
    <w:rsid w:val="00CA6079"/>
    <w:rsid w:val="00CA60CA"/>
    <w:rsid w:val="00CA66E7"/>
    <w:rsid w:val="00CA6A14"/>
    <w:rsid w:val="00CA6A87"/>
    <w:rsid w:val="00CA71C3"/>
    <w:rsid w:val="00CA7621"/>
    <w:rsid w:val="00CA7C64"/>
    <w:rsid w:val="00CA7D80"/>
    <w:rsid w:val="00CB04C6"/>
    <w:rsid w:val="00CB068C"/>
    <w:rsid w:val="00CB16A4"/>
    <w:rsid w:val="00CB1BF1"/>
    <w:rsid w:val="00CB25CA"/>
    <w:rsid w:val="00CB2980"/>
    <w:rsid w:val="00CB3045"/>
    <w:rsid w:val="00CB336A"/>
    <w:rsid w:val="00CB3435"/>
    <w:rsid w:val="00CB44BD"/>
    <w:rsid w:val="00CB44C1"/>
    <w:rsid w:val="00CB4C7F"/>
    <w:rsid w:val="00CB52EB"/>
    <w:rsid w:val="00CB6765"/>
    <w:rsid w:val="00CB7782"/>
    <w:rsid w:val="00CB7DD2"/>
    <w:rsid w:val="00CC03FB"/>
    <w:rsid w:val="00CC0875"/>
    <w:rsid w:val="00CC0A66"/>
    <w:rsid w:val="00CC20E3"/>
    <w:rsid w:val="00CC2252"/>
    <w:rsid w:val="00CC22BF"/>
    <w:rsid w:val="00CC2BD9"/>
    <w:rsid w:val="00CC2C39"/>
    <w:rsid w:val="00CC3D7D"/>
    <w:rsid w:val="00CC4163"/>
    <w:rsid w:val="00CC45E3"/>
    <w:rsid w:val="00CC492A"/>
    <w:rsid w:val="00CC4FAA"/>
    <w:rsid w:val="00CC6535"/>
    <w:rsid w:val="00CC6591"/>
    <w:rsid w:val="00CC6CC3"/>
    <w:rsid w:val="00CC6D20"/>
    <w:rsid w:val="00CC6DB1"/>
    <w:rsid w:val="00CC6DEA"/>
    <w:rsid w:val="00CC74FE"/>
    <w:rsid w:val="00CC7683"/>
    <w:rsid w:val="00CC78BC"/>
    <w:rsid w:val="00CC7DB2"/>
    <w:rsid w:val="00CC7DD7"/>
    <w:rsid w:val="00CD091F"/>
    <w:rsid w:val="00CD132D"/>
    <w:rsid w:val="00CD14E9"/>
    <w:rsid w:val="00CD1542"/>
    <w:rsid w:val="00CD19C3"/>
    <w:rsid w:val="00CD1B0A"/>
    <w:rsid w:val="00CD2196"/>
    <w:rsid w:val="00CD21AB"/>
    <w:rsid w:val="00CD2565"/>
    <w:rsid w:val="00CD29F8"/>
    <w:rsid w:val="00CD2EEB"/>
    <w:rsid w:val="00CD424C"/>
    <w:rsid w:val="00CD4B78"/>
    <w:rsid w:val="00CD54F5"/>
    <w:rsid w:val="00CD64C9"/>
    <w:rsid w:val="00CD6813"/>
    <w:rsid w:val="00CD70AF"/>
    <w:rsid w:val="00CD7796"/>
    <w:rsid w:val="00CD78DA"/>
    <w:rsid w:val="00CE04B1"/>
    <w:rsid w:val="00CE06C1"/>
    <w:rsid w:val="00CE13E2"/>
    <w:rsid w:val="00CE142D"/>
    <w:rsid w:val="00CE152D"/>
    <w:rsid w:val="00CE2769"/>
    <w:rsid w:val="00CE31A1"/>
    <w:rsid w:val="00CE3384"/>
    <w:rsid w:val="00CE3701"/>
    <w:rsid w:val="00CE3760"/>
    <w:rsid w:val="00CE394F"/>
    <w:rsid w:val="00CE3EE8"/>
    <w:rsid w:val="00CE45C3"/>
    <w:rsid w:val="00CE4762"/>
    <w:rsid w:val="00CE5466"/>
    <w:rsid w:val="00CE6382"/>
    <w:rsid w:val="00CE66D0"/>
    <w:rsid w:val="00CE7310"/>
    <w:rsid w:val="00CE759F"/>
    <w:rsid w:val="00CE75FF"/>
    <w:rsid w:val="00CE783E"/>
    <w:rsid w:val="00CE7BFA"/>
    <w:rsid w:val="00CF0605"/>
    <w:rsid w:val="00CF08AA"/>
    <w:rsid w:val="00CF0970"/>
    <w:rsid w:val="00CF0DFA"/>
    <w:rsid w:val="00CF1070"/>
    <w:rsid w:val="00CF259F"/>
    <w:rsid w:val="00CF3340"/>
    <w:rsid w:val="00CF37BD"/>
    <w:rsid w:val="00CF397A"/>
    <w:rsid w:val="00CF3EFE"/>
    <w:rsid w:val="00CF3F7D"/>
    <w:rsid w:val="00CF48F8"/>
    <w:rsid w:val="00CF4979"/>
    <w:rsid w:val="00CF4BE1"/>
    <w:rsid w:val="00CF52E4"/>
    <w:rsid w:val="00CF536A"/>
    <w:rsid w:val="00CF5AED"/>
    <w:rsid w:val="00CF6161"/>
    <w:rsid w:val="00CF64F8"/>
    <w:rsid w:val="00CF6ADA"/>
    <w:rsid w:val="00CF6B48"/>
    <w:rsid w:val="00CF6BD8"/>
    <w:rsid w:val="00CF6DDC"/>
    <w:rsid w:val="00CF6E6F"/>
    <w:rsid w:val="00CF70F5"/>
    <w:rsid w:val="00CF71F6"/>
    <w:rsid w:val="00CF7448"/>
    <w:rsid w:val="00CF75BD"/>
    <w:rsid w:val="00CF79D9"/>
    <w:rsid w:val="00D00601"/>
    <w:rsid w:val="00D01C09"/>
    <w:rsid w:val="00D01C8A"/>
    <w:rsid w:val="00D02FD4"/>
    <w:rsid w:val="00D032ED"/>
    <w:rsid w:val="00D03E74"/>
    <w:rsid w:val="00D03EE1"/>
    <w:rsid w:val="00D04CF0"/>
    <w:rsid w:val="00D04F11"/>
    <w:rsid w:val="00D0568C"/>
    <w:rsid w:val="00D057FE"/>
    <w:rsid w:val="00D05A21"/>
    <w:rsid w:val="00D05FFD"/>
    <w:rsid w:val="00D06799"/>
    <w:rsid w:val="00D06BB5"/>
    <w:rsid w:val="00D0776C"/>
    <w:rsid w:val="00D077B5"/>
    <w:rsid w:val="00D07D66"/>
    <w:rsid w:val="00D103ED"/>
    <w:rsid w:val="00D106EE"/>
    <w:rsid w:val="00D11A04"/>
    <w:rsid w:val="00D1222C"/>
    <w:rsid w:val="00D12A9E"/>
    <w:rsid w:val="00D12B3B"/>
    <w:rsid w:val="00D14172"/>
    <w:rsid w:val="00D14E20"/>
    <w:rsid w:val="00D14F38"/>
    <w:rsid w:val="00D15127"/>
    <w:rsid w:val="00D16FCD"/>
    <w:rsid w:val="00D16FD2"/>
    <w:rsid w:val="00D17102"/>
    <w:rsid w:val="00D17443"/>
    <w:rsid w:val="00D17B51"/>
    <w:rsid w:val="00D17CD7"/>
    <w:rsid w:val="00D17D3C"/>
    <w:rsid w:val="00D17FF2"/>
    <w:rsid w:val="00D200BE"/>
    <w:rsid w:val="00D208AE"/>
    <w:rsid w:val="00D20ED2"/>
    <w:rsid w:val="00D21212"/>
    <w:rsid w:val="00D2130F"/>
    <w:rsid w:val="00D21538"/>
    <w:rsid w:val="00D21BF6"/>
    <w:rsid w:val="00D21C19"/>
    <w:rsid w:val="00D21C69"/>
    <w:rsid w:val="00D22F5D"/>
    <w:rsid w:val="00D2320F"/>
    <w:rsid w:val="00D239C7"/>
    <w:rsid w:val="00D23ED4"/>
    <w:rsid w:val="00D24A1C"/>
    <w:rsid w:val="00D24DD3"/>
    <w:rsid w:val="00D25D06"/>
    <w:rsid w:val="00D26438"/>
    <w:rsid w:val="00D26622"/>
    <w:rsid w:val="00D26847"/>
    <w:rsid w:val="00D2708D"/>
    <w:rsid w:val="00D301FE"/>
    <w:rsid w:val="00D30294"/>
    <w:rsid w:val="00D30B56"/>
    <w:rsid w:val="00D30D00"/>
    <w:rsid w:val="00D32312"/>
    <w:rsid w:val="00D32BED"/>
    <w:rsid w:val="00D3374B"/>
    <w:rsid w:val="00D33752"/>
    <w:rsid w:val="00D33CAC"/>
    <w:rsid w:val="00D342F7"/>
    <w:rsid w:val="00D3470F"/>
    <w:rsid w:val="00D34DFC"/>
    <w:rsid w:val="00D35A1D"/>
    <w:rsid w:val="00D35D86"/>
    <w:rsid w:val="00D36542"/>
    <w:rsid w:val="00D36B5A"/>
    <w:rsid w:val="00D36EC4"/>
    <w:rsid w:val="00D37224"/>
    <w:rsid w:val="00D37474"/>
    <w:rsid w:val="00D37790"/>
    <w:rsid w:val="00D37E1E"/>
    <w:rsid w:val="00D37EDE"/>
    <w:rsid w:val="00D37FCF"/>
    <w:rsid w:val="00D40732"/>
    <w:rsid w:val="00D40C5D"/>
    <w:rsid w:val="00D41C4D"/>
    <w:rsid w:val="00D41E0C"/>
    <w:rsid w:val="00D42143"/>
    <w:rsid w:val="00D425EC"/>
    <w:rsid w:val="00D42B59"/>
    <w:rsid w:val="00D42CD3"/>
    <w:rsid w:val="00D437F3"/>
    <w:rsid w:val="00D43B71"/>
    <w:rsid w:val="00D43E21"/>
    <w:rsid w:val="00D43E24"/>
    <w:rsid w:val="00D44012"/>
    <w:rsid w:val="00D44C49"/>
    <w:rsid w:val="00D44E4C"/>
    <w:rsid w:val="00D456F0"/>
    <w:rsid w:val="00D46450"/>
    <w:rsid w:val="00D46480"/>
    <w:rsid w:val="00D473BD"/>
    <w:rsid w:val="00D47435"/>
    <w:rsid w:val="00D47DF3"/>
    <w:rsid w:val="00D50D1C"/>
    <w:rsid w:val="00D51535"/>
    <w:rsid w:val="00D52490"/>
    <w:rsid w:val="00D5259C"/>
    <w:rsid w:val="00D52CBC"/>
    <w:rsid w:val="00D52DF7"/>
    <w:rsid w:val="00D52E3C"/>
    <w:rsid w:val="00D53859"/>
    <w:rsid w:val="00D53909"/>
    <w:rsid w:val="00D53F98"/>
    <w:rsid w:val="00D544CB"/>
    <w:rsid w:val="00D544D4"/>
    <w:rsid w:val="00D55164"/>
    <w:rsid w:val="00D55E26"/>
    <w:rsid w:val="00D55EBC"/>
    <w:rsid w:val="00D56C0E"/>
    <w:rsid w:val="00D57683"/>
    <w:rsid w:val="00D577E1"/>
    <w:rsid w:val="00D57C7A"/>
    <w:rsid w:val="00D602D0"/>
    <w:rsid w:val="00D60807"/>
    <w:rsid w:val="00D61F21"/>
    <w:rsid w:val="00D6217F"/>
    <w:rsid w:val="00D62452"/>
    <w:rsid w:val="00D6247B"/>
    <w:rsid w:val="00D62AFB"/>
    <w:rsid w:val="00D62C32"/>
    <w:rsid w:val="00D63E1D"/>
    <w:rsid w:val="00D640BF"/>
    <w:rsid w:val="00D641DC"/>
    <w:rsid w:val="00D64BE4"/>
    <w:rsid w:val="00D64E1A"/>
    <w:rsid w:val="00D6526E"/>
    <w:rsid w:val="00D65698"/>
    <w:rsid w:val="00D65EAA"/>
    <w:rsid w:val="00D6795C"/>
    <w:rsid w:val="00D70740"/>
    <w:rsid w:val="00D70D55"/>
    <w:rsid w:val="00D71A4E"/>
    <w:rsid w:val="00D71A64"/>
    <w:rsid w:val="00D73593"/>
    <w:rsid w:val="00D738B3"/>
    <w:rsid w:val="00D73DA4"/>
    <w:rsid w:val="00D74B3C"/>
    <w:rsid w:val="00D7645F"/>
    <w:rsid w:val="00D764BC"/>
    <w:rsid w:val="00D76A51"/>
    <w:rsid w:val="00D77293"/>
    <w:rsid w:val="00D772D1"/>
    <w:rsid w:val="00D7774F"/>
    <w:rsid w:val="00D77AF5"/>
    <w:rsid w:val="00D77C83"/>
    <w:rsid w:val="00D80EF0"/>
    <w:rsid w:val="00D8123B"/>
    <w:rsid w:val="00D813B2"/>
    <w:rsid w:val="00D81485"/>
    <w:rsid w:val="00D815EC"/>
    <w:rsid w:val="00D81923"/>
    <w:rsid w:val="00D81E9A"/>
    <w:rsid w:val="00D8264E"/>
    <w:rsid w:val="00D82ABC"/>
    <w:rsid w:val="00D82EED"/>
    <w:rsid w:val="00D8336F"/>
    <w:rsid w:val="00D835CF"/>
    <w:rsid w:val="00D8383A"/>
    <w:rsid w:val="00D840C2"/>
    <w:rsid w:val="00D84D51"/>
    <w:rsid w:val="00D84F17"/>
    <w:rsid w:val="00D850F1"/>
    <w:rsid w:val="00D85637"/>
    <w:rsid w:val="00D85B0C"/>
    <w:rsid w:val="00D85C12"/>
    <w:rsid w:val="00D85D2D"/>
    <w:rsid w:val="00D85DC5"/>
    <w:rsid w:val="00D86495"/>
    <w:rsid w:val="00D86957"/>
    <w:rsid w:val="00D90414"/>
    <w:rsid w:val="00D90C52"/>
    <w:rsid w:val="00D913A9"/>
    <w:rsid w:val="00D91D53"/>
    <w:rsid w:val="00D928A9"/>
    <w:rsid w:val="00D935A7"/>
    <w:rsid w:val="00D93973"/>
    <w:rsid w:val="00D94276"/>
    <w:rsid w:val="00D948D1"/>
    <w:rsid w:val="00D948D2"/>
    <w:rsid w:val="00D948FF"/>
    <w:rsid w:val="00D9592A"/>
    <w:rsid w:val="00D95B90"/>
    <w:rsid w:val="00D968AC"/>
    <w:rsid w:val="00D96A1C"/>
    <w:rsid w:val="00D96B27"/>
    <w:rsid w:val="00D96CAA"/>
    <w:rsid w:val="00D979C8"/>
    <w:rsid w:val="00D97C92"/>
    <w:rsid w:val="00DA0008"/>
    <w:rsid w:val="00DA0092"/>
    <w:rsid w:val="00DA0BFA"/>
    <w:rsid w:val="00DA11B4"/>
    <w:rsid w:val="00DA1835"/>
    <w:rsid w:val="00DA1E2E"/>
    <w:rsid w:val="00DA2064"/>
    <w:rsid w:val="00DA21BE"/>
    <w:rsid w:val="00DA2CF1"/>
    <w:rsid w:val="00DA3E41"/>
    <w:rsid w:val="00DA4C02"/>
    <w:rsid w:val="00DA4CF3"/>
    <w:rsid w:val="00DA4FA9"/>
    <w:rsid w:val="00DA5148"/>
    <w:rsid w:val="00DA519E"/>
    <w:rsid w:val="00DA540F"/>
    <w:rsid w:val="00DA5553"/>
    <w:rsid w:val="00DA5F7E"/>
    <w:rsid w:val="00DA63B1"/>
    <w:rsid w:val="00DA6E77"/>
    <w:rsid w:val="00DA71D7"/>
    <w:rsid w:val="00DA788B"/>
    <w:rsid w:val="00DA7C6D"/>
    <w:rsid w:val="00DB0869"/>
    <w:rsid w:val="00DB0F46"/>
    <w:rsid w:val="00DB0F4C"/>
    <w:rsid w:val="00DB12C1"/>
    <w:rsid w:val="00DB151C"/>
    <w:rsid w:val="00DB1958"/>
    <w:rsid w:val="00DB1A45"/>
    <w:rsid w:val="00DB2298"/>
    <w:rsid w:val="00DB24FB"/>
    <w:rsid w:val="00DB27B1"/>
    <w:rsid w:val="00DB34E8"/>
    <w:rsid w:val="00DB38F2"/>
    <w:rsid w:val="00DB3AFC"/>
    <w:rsid w:val="00DB4481"/>
    <w:rsid w:val="00DB4BD1"/>
    <w:rsid w:val="00DB5706"/>
    <w:rsid w:val="00DB65A1"/>
    <w:rsid w:val="00DB65AF"/>
    <w:rsid w:val="00DB6C10"/>
    <w:rsid w:val="00DB7C0B"/>
    <w:rsid w:val="00DB7DB1"/>
    <w:rsid w:val="00DB7F1C"/>
    <w:rsid w:val="00DC088B"/>
    <w:rsid w:val="00DC0BEA"/>
    <w:rsid w:val="00DC1383"/>
    <w:rsid w:val="00DC172B"/>
    <w:rsid w:val="00DC198B"/>
    <w:rsid w:val="00DC1F1F"/>
    <w:rsid w:val="00DC2C60"/>
    <w:rsid w:val="00DC3805"/>
    <w:rsid w:val="00DC3881"/>
    <w:rsid w:val="00DC4256"/>
    <w:rsid w:val="00DC46F8"/>
    <w:rsid w:val="00DC4C86"/>
    <w:rsid w:val="00DC5CBD"/>
    <w:rsid w:val="00DC5E00"/>
    <w:rsid w:val="00DC6059"/>
    <w:rsid w:val="00DC627E"/>
    <w:rsid w:val="00DC6B07"/>
    <w:rsid w:val="00DC6C37"/>
    <w:rsid w:val="00DC6DEB"/>
    <w:rsid w:val="00DC6F58"/>
    <w:rsid w:val="00DC7037"/>
    <w:rsid w:val="00DC717C"/>
    <w:rsid w:val="00DC7DB6"/>
    <w:rsid w:val="00DD123E"/>
    <w:rsid w:val="00DD1435"/>
    <w:rsid w:val="00DD1BDD"/>
    <w:rsid w:val="00DD2C0B"/>
    <w:rsid w:val="00DD3A28"/>
    <w:rsid w:val="00DD40A5"/>
    <w:rsid w:val="00DD4724"/>
    <w:rsid w:val="00DD472A"/>
    <w:rsid w:val="00DD4A84"/>
    <w:rsid w:val="00DD4BD5"/>
    <w:rsid w:val="00DD546A"/>
    <w:rsid w:val="00DD5E8D"/>
    <w:rsid w:val="00DD6362"/>
    <w:rsid w:val="00DD69DA"/>
    <w:rsid w:val="00DD6C50"/>
    <w:rsid w:val="00DD6CE7"/>
    <w:rsid w:val="00DD708B"/>
    <w:rsid w:val="00DD76FE"/>
    <w:rsid w:val="00DE0366"/>
    <w:rsid w:val="00DE0A05"/>
    <w:rsid w:val="00DE118A"/>
    <w:rsid w:val="00DE168E"/>
    <w:rsid w:val="00DE16C7"/>
    <w:rsid w:val="00DE22B8"/>
    <w:rsid w:val="00DE24A1"/>
    <w:rsid w:val="00DE293C"/>
    <w:rsid w:val="00DE2BF2"/>
    <w:rsid w:val="00DE2C22"/>
    <w:rsid w:val="00DE32A2"/>
    <w:rsid w:val="00DE34B1"/>
    <w:rsid w:val="00DE3950"/>
    <w:rsid w:val="00DE3BB8"/>
    <w:rsid w:val="00DE3DC4"/>
    <w:rsid w:val="00DE46B0"/>
    <w:rsid w:val="00DE4AE3"/>
    <w:rsid w:val="00DE4ECC"/>
    <w:rsid w:val="00DE5487"/>
    <w:rsid w:val="00DE5CDF"/>
    <w:rsid w:val="00DE695C"/>
    <w:rsid w:val="00DE6E5F"/>
    <w:rsid w:val="00DE7BE7"/>
    <w:rsid w:val="00DF05E0"/>
    <w:rsid w:val="00DF0B69"/>
    <w:rsid w:val="00DF0C83"/>
    <w:rsid w:val="00DF1682"/>
    <w:rsid w:val="00DF1BBF"/>
    <w:rsid w:val="00DF2AC3"/>
    <w:rsid w:val="00DF31AD"/>
    <w:rsid w:val="00DF3311"/>
    <w:rsid w:val="00DF36E5"/>
    <w:rsid w:val="00DF3898"/>
    <w:rsid w:val="00DF4819"/>
    <w:rsid w:val="00DF4834"/>
    <w:rsid w:val="00DF50B0"/>
    <w:rsid w:val="00DF51B0"/>
    <w:rsid w:val="00DF5309"/>
    <w:rsid w:val="00DF546F"/>
    <w:rsid w:val="00DF6341"/>
    <w:rsid w:val="00DF6A8E"/>
    <w:rsid w:val="00DF6E68"/>
    <w:rsid w:val="00DF7473"/>
    <w:rsid w:val="00DF7513"/>
    <w:rsid w:val="00DF79D8"/>
    <w:rsid w:val="00DF7AD2"/>
    <w:rsid w:val="00DF7FE6"/>
    <w:rsid w:val="00E00107"/>
    <w:rsid w:val="00E0048D"/>
    <w:rsid w:val="00E0090E"/>
    <w:rsid w:val="00E009E4"/>
    <w:rsid w:val="00E010C0"/>
    <w:rsid w:val="00E023A8"/>
    <w:rsid w:val="00E02557"/>
    <w:rsid w:val="00E02A18"/>
    <w:rsid w:val="00E02ADD"/>
    <w:rsid w:val="00E02F54"/>
    <w:rsid w:val="00E02F71"/>
    <w:rsid w:val="00E03427"/>
    <w:rsid w:val="00E035BE"/>
    <w:rsid w:val="00E0386B"/>
    <w:rsid w:val="00E03D95"/>
    <w:rsid w:val="00E03F5E"/>
    <w:rsid w:val="00E04519"/>
    <w:rsid w:val="00E04C63"/>
    <w:rsid w:val="00E04CB2"/>
    <w:rsid w:val="00E04D60"/>
    <w:rsid w:val="00E05657"/>
    <w:rsid w:val="00E0620D"/>
    <w:rsid w:val="00E062B1"/>
    <w:rsid w:val="00E063E4"/>
    <w:rsid w:val="00E066F5"/>
    <w:rsid w:val="00E06CB8"/>
    <w:rsid w:val="00E06E7C"/>
    <w:rsid w:val="00E0759F"/>
    <w:rsid w:val="00E076E5"/>
    <w:rsid w:val="00E07940"/>
    <w:rsid w:val="00E07BB2"/>
    <w:rsid w:val="00E07D23"/>
    <w:rsid w:val="00E1097A"/>
    <w:rsid w:val="00E10A05"/>
    <w:rsid w:val="00E10C28"/>
    <w:rsid w:val="00E10DC6"/>
    <w:rsid w:val="00E11AF1"/>
    <w:rsid w:val="00E12115"/>
    <w:rsid w:val="00E121E2"/>
    <w:rsid w:val="00E12B0C"/>
    <w:rsid w:val="00E12BDA"/>
    <w:rsid w:val="00E12CA5"/>
    <w:rsid w:val="00E13288"/>
    <w:rsid w:val="00E136B4"/>
    <w:rsid w:val="00E13A80"/>
    <w:rsid w:val="00E13AB8"/>
    <w:rsid w:val="00E13AFC"/>
    <w:rsid w:val="00E143F7"/>
    <w:rsid w:val="00E1497A"/>
    <w:rsid w:val="00E14B1A"/>
    <w:rsid w:val="00E151C4"/>
    <w:rsid w:val="00E15424"/>
    <w:rsid w:val="00E154EB"/>
    <w:rsid w:val="00E15AE9"/>
    <w:rsid w:val="00E15E7B"/>
    <w:rsid w:val="00E15E89"/>
    <w:rsid w:val="00E174F7"/>
    <w:rsid w:val="00E17A54"/>
    <w:rsid w:val="00E2046F"/>
    <w:rsid w:val="00E20488"/>
    <w:rsid w:val="00E22409"/>
    <w:rsid w:val="00E229FB"/>
    <w:rsid w:val="00E22E8A"/>
    <w:rsid w:val="00E23506"/>
    <w:rsid w:val="00E23AA4"/>
    <w:rsid w:val="00E23AA5"/>
    <w:rsid w:val="00E23F1D"/>
    <w:rsid w:val="00E25F27"/>
    <w:rsid w:val="00E26756"/>
    <w:rsid w:val="00E26B49"/>
    <w:rsid w:val="00E27982"/>
    <w:rsid w:val="00E27A43"/>
    <w:rsid w:val="00E27A7C"/>
    <w:rsid w:val="00E27F86"/>
    <w:rsid w:val="00E30DAA"/>
    <w:rsid w:val="00E3226A"/>
    <w:rsid w:val="00E3260F"/>
    <w:rsid w:val="00E32881"/>
    <w:rsid w:val="00E330AA"/>
    <w:rsid w:val="00E33322"/>
    <w:rsid w:val="00E358CA"/>
    <w:rsid w:val="00E35D4B"/>
    <w:rsid w:val="00E35D79"/>
    <w:rsid w:val="00E35FE5"/>
    <w:rsid w:val="00E36041"/>
    <w:rsid w:val="00E36353"/>
    <w:rsid w:val="00E3646D"/>
    <w:rsid w:val="00E36613"/>
    <w:rsid w:val="00E36E7D"/>
    <w:rsid w:val="00E3720E"/>
    <w:rsid w:val="00E373EF"/>
    <w:rsid w:val="00E37C56"/>
    <w:rsid w:val="00E37FBF"/>
    <w:rsid w:val="00E4084E"/>
    <w:rsid w:val="00E408F0"/>
    <w:rsid w:val="00E41204"/>
    <w:rsid w:val="00E41A71"/>
    <w:rsid w:val="00E420F7"/>
    <w:rsid w:val="00E425DD"/>
    <w:rsid w:val="00E42DCC"/>
    <w:rsid w:val="00E42EE9"/>
    <w:rsid w:val="00E44089"/>
    <w:rsid w:val="00E44D57"/>
    <w:rsid w:val="00E44E31"/>
    <w:rsid w:val="00E4594F"/>
    <w:rsid w:val="00E45D06"/>
    <w:rsid w:val="00E460DF"/>
    <w:rsid w:val="00E468C5"/>
    <w:rsid w:val="00E47632"/>
    <w:rsid w:val="00E50211"/>
    <w:rsid w:val="00E505E9"/>
    <w:rsid w:val="00E50B57"/>
    <w:rsid w:val="00E512D5"/>
    <w:rsid w:val="00E51401"/>
    <w:rsid w:val="00E529CE"/>
    <w:rsid w:val="00E53387"/>
    <w:rsid w:val="00E5373D"/>
    <w:rsid w:val="00E537BB"/>
    <w:rsid w:val="00E54740"/>
    <w:rsid w:val="00E54BAE"/>
    <w:rsid w:val="00E555A8"/>
    <w:rsid w:val="00E55648"/>
    <w:rsid w:val="00E55E6D"/>
    <w:rsid w:val="00E560C6"/>
    <w:rsid w:val="00E56668"/>
    <w:rsid w:val="00E568AC"/>
    <w:rsid w:val="00E56A90"/>
    <w:rsid w:val="00E570FE"/>
    <w:rsid w:val="00E5711B"/>
    <w:rsid w:val="00E6005F"/>
    <w:rsid w:val="00E60610"/>
    <w:rsid w:val="00E6098D"/>
    <w:rsid w:val="00E61C35"/>
    <w:rsid w:val="00E61F40"/>
    <w:rsid w:val="00E62012"/>
    <w:rsid w:val="00E62B53"/>
    <w:rsid w:val="00E6328A"/>
    <w:rsid w:val="00E633BD"/>
    <w:rsid w:val="00E645F4"/>
    <w:rsid w:val="00E646B1"/>
    <w:rsid w:val="00E6495D"/>
    <w:rsid w:val="00E65958"/>
    <w:rsid w:val="00E65A32"/>
    <w:rsid w:val="00E65A3F"/>
    <w:rsid w:val="00E65E22"/>
    <w:rsid w:val="00E66605"/>
    <w:rsid w:val="00E66912"/>
    <w:rsid w:val="00E66C12"/>
    <w:rsid w:val="00E6707C"/>
    <w:rsid w:val="00E67140"/>
    <w:rsid w:val="00E673DE"/>
    <w:rsid w:val="00E67581"/>
    <w:rsid w:val="00E7058B"/>
    <w:rsid w:val="00E707D5"/>
    <w:rsid w:val="00E7099D"/>
    <w:rsid w:val="00E70BE7"/>
    <w:rsid w:val="00E71798"/>
    <w:rsid w:val="00E71AC2"/>
    <w:rsid w:val="00E724F9"/>
    <w:rsid w:val="00E72AA9"/>
    <w:rsid w:val="00E72B3C"/>
    <w:rsid w:val="00E72C8E"/>
    <w:rsid w:val="00E73289"/>
    <w:rsid w:val="00E73AB3"/>
    <w:rsid w:val="00E74CBB"/>
    <w:rsid w:val="00E75349"/>
    <w:rsid w:val="00E759D3"/>
    <w:rsid w:val="00E75AEC"/>
    <w:rsid w:val="00E75CB5"/>
    <w:rsid w:val="00E75DBC"/>
    <w:rsid w:val="00E775B2"/>
    <w:rsid w:val="00E77DD1"/>
    <w:rsid w:val="00E8061C"/>
    <w:rsid w:val="00E807E3"/>
    <w:rsid w:val="00E80814"/>
    <w:rsid w:val="00E81996"/>
    <w:rsid w:val="00E81A79"/>
    <w:rsid w:val="00E8312A"/>
    <w:rsid w:val="00E83F47"/>
    <w:rsid w:val="00E840D9"/>
    <w:rsid w:val="00E847DC"/>
    <w:rsid w:val="00E84A35"/>
    <w:rsid w:val="00E8624B"/>
    <w:rsid w:val="00E8624F"/>
    <w:rsid w:val="00E86307"/>
    <w:rsid w:val="00E8684C"/>
    <w:rsid w:val="00E87C71"/>
    <w:rsid w:val="00E87F43"/>
    <w:rsid w:val="00E906E9"/>
    <w:rsid w:val="00E90A87"/>
    <w:rsid w:val="00E9151A"/>
    <w:rsid w:val="00E92018"/>
    <w:rsid w:val="00E92335"/>
    <w:rsid w:val="00E93173"/>
    <w:rsid w:val="00E93643"/>
    <w:rsid w:val="00E93D6A"/>
    <w:rsid w:val="00E94498"/>
    <w:rsid w:val="00E944BE"/>
    <w:rsid w:val="00E94ADC"/>
    <w:rsid w:val="00E95E7B"/>
    <w:rsid w:val="00E95FF4"/>
    <w:rsid w:val="00E962B4"/>
    <w:rsid w:val="00E9631E"/>
    <w:rsid w:val="00E96391"/>
    <w:rsid w:val="00E966DA"/>
    <w:rsid w:val="00E96C58"/>
    <w:rsid w:val="00E9722A"/>
    <w:rsid w:val="00E9747E"/>
    <w:rsid w:val="00E975D2"/>
    <w:rsid w:val="00E97786"/>
    <w:rsid w:val="00E97BFD"/>
    <w:rsid w:val="00EA0615"/>
    <w:rsid w:val="00EA0DF3"/>
    <w:rsid w:val="00EA2867"/>
    <w:rsid w:val="00EA2CD3"/>
    <w:rsid w:val="00EA2EEF"/>
    <w:rsid w:val="00EA3A41"/>
    <w:rsid w:val="00EA3CEF"/>
    <w:rsid w:val="00EA3F52"/>
    <w:rsid w:val="00EA456B"/>
    <w:rsid w:val="00EA48E9"/>
    <w:rsid w:val="00EA5198"/>
    <w:rsid w:val="00EA58C4"/>
    <w:rsid w:val="00EA5D5C"/>
    <w:rsid w:val="00EA5ED1"/>
    <w:rsid w:val="00EA60CE"/>
    <w:rsid w:val="00EA6143"/>
    <w:rsid w:val="00EA64BD"/>
    <w:rsid w:val="00EA651C"/>
    <w:rsid w:val="00EA6684"/>
    <w:rsid w:val="00EA6D24"/>
    <w:rsid w:val="00EA6EC0"/>
    <w:rsid w:val="00EA6EDE"/>
    <w:rsid w:val="00EA78E0"/>
    <w:rsid w:val="00EB088D"/>
    <w:rsid w:val="00EB0D47"/>
    <w:rsid w:val="00EB0F52"/>
    <w:rsid w:val="00EB0FC7"/>
    <w:rsid w:val="00EB21E3"/>
    <w:rsid w:val="00EB2223"/>
    <w:rsid w:val="00EB2436"/>
    <w:rsid w:val="00EB260E"/>
    <w:rsid w:val="00EB296B"/>
    <w:rsid w:val="00EB29A5"/>
    <w:rsid w:val="00EB3048"/>
    <w:rsid w:val="00EB30B3"/>
    <w:rsid w:val="00EB3885"/>
    <w:rsid w:val="00EB4463"/>
    <w:rsid w:val="00EB486B"/>
    <w:rsid w:val="00EB4AB4"/>
    <w:rsid w:val="00EB507E"/>
    <w:rsid w:val="00EB580C"/>
    <w:rsid w:val="00EB5EB9"/>
    <w:rsid w:val="00EB655F"/>
    <w:rsid w:val="00EB6F2A"/>
    <w:rsid w:val="00EB700D"/>
    <w:rsid w:val="00EB755B"/>
    <w:rsid w:val="00EC00F4"/>
    <w:rsid w:val="00EC0279"/>
    <w:rsid w:val="00EC0378"/>
    <w:rsid w:val="00EC044D"/>
    <w:rsid w:val="00EC0682"/>
    <w:rsid w:val="00EC06FD"/>
    <w:rsid w:val="00EC0DAE"/>
    <w:rsid w:val="00EC0DD4"/>
    <w:rsid w:val="00EC0E9A"/>
    <w:rsid w:val="00EC131F"/>
    <w:rsid w:val="00EC1508"/>
    <w:rsid w:val="00EC1D36"/>
    <w:rsid w:val="00EC20F6"/>
    <w:rsid w:val="00EC29E0"/>
    <w:rsid w:val="00EC3361"/>
    <w:rsid w:val="00EC33A1"/>
    <w:rsid w:val="00EC35AD"/>
    <w:rsid w:val="00EC3926"/>
    <w:rsid w:val="00EC39DE"/>
    <w:rsid w:val="00EC457C"/>
    <w:rsid w:val="00EC4DE0"/>
    <w:rsid w:val="00EC5283"/>
    <w:rsid w:val="00EC58B2"/>
    <w:rsid w:val="00EC5B24"/>
    <w:rsid w:val="00EC5C33"/>
    <w:rsid w:val="00EC65E8"/>
    <w:rsid w:val="00EC7BB3"/>
    <w:rsid w:val="00ED0187"/>
    <w:rsid w:val="00ED02BB"/>
    <w:rsid w:val="00ED1F14"/>
    <w:rsid w:val="00ED26D1"/>
    <w:rsid w:val="00ED3066"/>
    <w:rsid w:val="00ED3F24"/>
    <w:rsid w:val="00ED5482"/>
    <w:rsid w:val="00ED5F7F"/>
    <w:rsid w:val="00ED6AC8"/>
    <w:rsid w:val="00ED6BC1"/>
    <w:rsid w:val="00ED78AC"/>
    <w:rsid w:val="00ED799F"/>
    <w:rsid w:val="00ED7E76"/>
    <w:rsid w:val="00ED7FDD"/>
    <w:rsid w:val="00EE0A0D"/>
    <w:rsid w:val="00EE0F2E"/>
    <w:rsid w:val="00EE13BB"/>
    <w:rsid w:val="00EE1ED0"/>
    <w:rsid w:val="00EE250C"/>
    <w:rsid w:val="00EE2C73"/>
    <w:rsid w:val="00EE2DAA"/>
    <w:rsid w:val="00EE2E27"/>
    <w:rsid w:val="00EE2EAB"/>
    <w:rsid w:val="00EE358E"/>
    <w:rsid w:val="00EE5139"/>
    <w:rsid w:val="00EE5356"/>
    <w:rsid w:val="00EE5542"/>
    <w:rsid w:val="00EE55D8"/>
    <w:rsid w:val="00EE574E"/>
    <w:rsid w:val="00EE6384"/>
    <w:rsid w:val="00EE6967"/>
    <w:rsid w:val="00EE6D6E"/>
    <w:rsid w:val="00EE719C"/>
    <w:rsid w:val="00EE7241"/>
    <w:rsid w:val="00EE745E"/>
    <w:rsid w:val="00EE7512"/>
    <w:rsid w:val="00EF05E0"/>
    <w:rsid w:val="00EF0A5A"/>
    <w:rsid w:val="00EF0B94"/>
    <w:rsid w:val="00EF0D57"/>
    <w:rsid w:val="00EF11CD"/>
    <w:rsid w:val="00EF1371"/>
    <w:rsid w:val="00EF2610"/>
    <w:rsid w:val="00EF26B1"/>
    <w:rsid w:val="00EF2C36"/>
    <w:rsid w:val="00EF2E8A"/>
    <w:rsid w:val="00EF31B9"/>
    <w:rsid w:val="00EF3C33"/>
    <w:rsid w:val="00EF3D40"/>
    <w:rsid w:val="00EF3E61"/>
    <w:rsid w:val="00EF49B1"/>
    <w:rsid w:val="00EF4BE3"/>
    <w:rsid w:val="00EF56B5"/>
    <w:rsid w:val="00EF58D6"/>
    <w:rsid w:val="00EF702C"/>
    <w:rsid w:val="00EF771A"/>
    <w:rsid w:val="00F00433"/>
    <w:rsid w:val="00F00C7E"/>
    <w:rsid w:val="00F01638"/>
    <w:rsid w:val="00F016E1"/>
    <w:rsid w:val="00F01A52"/>
    <w:rsid w:val="00F01E0B"/>
    <w:rsid w:val="00F038BE"/>
    <w:rsid w:val="00F04011"/>
    <w:rsid w:val="00F04625"/>
    <w:rsid w:val="00F0476E"/>
    <w:rsid w:val="00F05AB4"/>
    <w:rsid w:val="00F05FF8"/>
    <w:rsid w:val="00F06083"/>
    <w:rsid w:val="00F067DB"/>
    <w:rsid w:val="00F0685F"/>
    <w:rsid w:val="00F068E2"/>
    <w:rsid w:val="00F07693"/>
    <w:rsid w:val="00F0795E"/>
    <w:rsid w:val="00F101F8"/>
    <w:rsid w:val="00F1036C"/>
    <w:rsid w:val="00F1087A"/>
    <w:rsid w:val="00F10E31"/>
    <w:rsid w:val="00F1167D"/>
    <w:rsid w:val="00F125DB"/>
    <w:rsid w:val="00F12B0A"/>
    <w:rsid w:val="00F1322A"/>
    <w:rsid w:val="00F13B26"/>
    <w:rsid w:val="00F13C88"/>
    <w:rsid w:val="00F13D18"/>
    <w:rsid w:val="00F14A22"/>
    <w:rsid w:val="00F15449"/>
    <w:rsid w:val="00F154C9"/>
    <w:rsid w:val="00F15DB4"/>
    <w:rsid w:val="00F16735"/>
    <w:rsid w:val="00F175BD"/>
    <w:rsid w:val="00F17A29"/>
    <w:rsid w:val="00F201C4"/>
    <w:rsid w:val="00F20634"/>
    <w:rsid w:val="00F209D5"/>
    <w:rsid w:val="00F2111F"/>
    <w:rsid w:val="00F21BFD"/>
    <w:rsid w:val="00F21D4B"/>
    <w:rsid w:val="00F2251F"/>
    <w:rsid w:val="00F2277E"/>
    <w:rsid w:val="00F23430"/>
    <w:rsid w:val="00F2384C"/>
    <w:rsid w:val="00F2392E"/>
    <w:rsid w:val="00F23DB9"/>
    <w:rsid w:val="00F2414B"/>
    <w:rsid w:val="00F24B4A"/>
    <w:rsid w:val="00F252E2"/>
    <w:rsid w:val="00F257EE"/>
    <w:rsid w:val="00F25CCF"/>
    <w:rsid w:val="00F26109"/>
    <w:rsid w:val="00F26349"/>
    <w:rsid w:val="00F2758B"/>
    <w:rsid w:val="00F27A8C"/>
    <w:rsid w:val="00F3009F"/>
    <w:rsid w:val="00F30C33"/>
    <w:rsid w:val="00F30D45"/>
    <w:rsid w:val="00F31401"/>
    <w:rsid w:val="00F31926"/>
    <w:rsid w:val="00F31BD8"/>
    <w:rsid w:val="00F31D42"/>
    <w:rsid w:val="00F32019"/>
    <w:rsid w:val="00F32813"/>
    <w:rsid w:val="00F32E97"/>
    <w:rsid w:val="00F331DD"/>
    <w:rsid w:val="00F33430"/>
    <w:rsid w:val="00F337FA"/>
    <w:rsid w:val="00F338D8"/>
    <w:rsid w:val="00F339F0"/>
    <w:rsid w:val="00F34D4B"/>
    <w:rsid w:val="00F34E21"/>
    <w:rsid w:val="00F35ABD"/>
    <w:rsid w:val="00F35AE5"/>
    <w:rsid w:val="00F35C44"/>
    <w:rsid w:val="00F35E91"/>
    <w:rsid w:val="00F364DD"/>
    <w:rsid w:val="00F367DF"/>
    <w:rsid w:val="00F36DCE"/>
    <w:rsid w:val="00F3747A"/>
    <w:rsid w:val="00F401C0"/>
    <w:rsid w:val="00F405EB"/>
    <w:rsid w:val="00F40F4C"/>
    <w:rsid w:val="00F42A3E"/>
    <w:rsid w:val="00F42DBB"/>
    <w:rsid w:val="00F44222"/>
    <w:rsid w:val="00F445A0"/>
    <w:rsid w:val="00F44908"/>
    <w:rsid w:val="00F45AD5"/>
    <w:rsid w:val="00F46079"/>
    <w:rsid w:val="00F460D6"/>
    <w:rsid w:val="00F46742"/>
    <w:rsid w:val="00F46FE0"/>
    <w:rsid w:val="00F47A5A"/>
    <w:rsid w:val="00F47FDD"/>
    <w:rsid w:val="00F50177"/>
    <w:rsid w:val="00F5026E"/>
    <w:rsid w:val="00F50306"/>
    <w:rsid w:val="00F508D2"/>
    <w:rsid w:val="00F50A2B"/>
    <w:rsid w:val="00F51460"/>
    <w:rsid w:val="00F517F6"/>
    <w:rsid w:val="00F51C8A"/>
    <w:rsid w:val="00F52612"/>
    <w:rsid w:val="00F5322B"/>
    <w:rsid w:val="00F533C5"/>
    <w:rsid w:val="00F53C6C"/>
    <w:rsid w:val="00F53F06"/>
    <w:rsid w:val="00F5421A"/>
    <w:rsid w:val="00F54752"/>
    <w:rsid w:val="00F54E29"/>
    <w:rsid w:val="00F54E5A"/>
    <w:rsid w:val="00F5512C"/>
    <w:rsid w:val="00F556E0"/>
    <w:rsid w:val="00F55E8E"/>
    <w:rsid w:val="00F56B58"/>
    <w:rsid w:val="00F571A7"/>
    <w:rsid w:val="00F57CEB"/>
    <w:rsid w:val="00F57F60"/>
    <w:rsid w:val="00F60CB0"/>
    <w:rsid w:val="00F60F9F"/>
    <w:rsid w:val="00F610E8"/>
    <w:rsid w:val="00F61371"/>
    <w:rsid w:val="00F61F8D"/>
    <w:rsid w:val="00F62E09"/>
    <w:rsid w:val="00F62F94"/>
    <w:rsid w:val="00F638F4"/>
    <w:rsid w:val="00F64011"/>
    <w:rsid w:val="00F645E3"/>
    <w:rsid w:val="00F649AF"/>
    <w:rsid w:val="00F64A9C"/>
    <w:rsid w:val="00F64D5D"/>
    <w:rsid w:val="00F66848"/>
    <w:rsid w:val="00F6712E"/>
    <w:rsid w:val="00F67CA3"/>
    <w:rsid w:val="00F7008E"/>
    <w:rsid w:val="00F70917"/>
    <w:rsid w:val="00F71A67"/>
    <w:rsid w:val="00F7216E"/>
    <w:rsid w:val="00F72405"/>
    <w:rsid w:val="00F72598"/>
    <w:rsid w:val="00F72683"/>
    <w:rsid w:val="00F731C3"/>
    <w:rsid w:val="00F73D0A"/>
    <w:rsid w:val="00F745EB"/>
    <w:rsid w:val="00F75ABE"/>
    <w:rsid w:val="00F75D8B"/>
    <w:rsid w:val="00F76777"/>
    <w:rsid w:val="00F76A8E"/>
    <w:rsid w:val="00F76BC4"/>
    <w:rsid w:val="00F777EB"/>
    <w:rsid w:val="00F77956"/>
    <w:rsid w:val="00F77CD9"/>
    <w:rsid w:val="00F77E81"/>
    <w:rsid w:val="00F80123"/>
    <w:rsid w:val="00F80539"/>
    <w:rsid w:val="00F81252"/>
    <w:rsid w:val="00F812C8"/>
    <w:rsid w:val="00F814CA"/>
    <w:rsid w:val="00F81581"/>
    <w:rsid w:val="00F81C68"/>
    <w:rsid w:val="00F81EDF"/>
    <w:rsid w:val="00F8203E"/>
    <w:rsid w:val="00F8231B"/>
    <w:rsid w:val="00F828F3"/>
    <w:rsid w:val="00F83244"/>
    <w:rsid w:val="00F83806"/>
    <w:rsid w:val="00F84A4B"/>
    <w:rsid w:val="00F84D1D"/>
    <w:rsid w:val="00F84DFB"/>
    <w:rsid w:val="00F84E63"/>
    <w:rsid w:val="00F84F09"/>
    <w:rsid w:val="00F851A1"/>
    <w:rsid w:val="00F85AB9"/>
    <w:rsid w:val="00F85F2B"/>
    <w:rsid w:val="00F86634"/>
    <w:rsid w:val="00F874F6"/>
    <w:rsid w:val="00F87C29"/>
    <w:rsid w:val="00F87D0F"/>
    <w:rsid w:val="00F87ECE"/>
    <w:rsid w:val="00F905B0"/>
    <w:rsid w:val="00F90CB3"/>
    <w:rsid w:val="00F90EBE"/>
    <w:rsid w:val="00F91486"/>
    <w:rsid w:val="00F91EE9"/>
    <w:rsid w:val="00F928BF"/>
    <w:rsid w:val="00F92BE6"/>
    <w:rsid w:val="00F9364A"/>
    <w:rsid w:val="00F93EE7"/>
    <w:rsid w:val="00F94563"/>
    <w:rsid w:val="00F94E4A"/>
    <w:rsid w:val="00F956D0"/>
    <w:rsid w:val="00F9656E"/>
    <w:rsid w:val="00F96860"/>
    <w:rsid w:val="00F97ADC"/>
    <w:rsid w:val="00FA0998"/>
    <w:rsid w:val="00FA1691"/>
    <w:rsid w:val="00FA19C5"/>
    <w:rsid w:val="00FA2102"/>
    <w:rsid w:val="00FA2F8E"/>
    <w:rsid w:val="00FA3E47"/>
    <w:rsid w:val="00FA444D"/>
    <w:rsid w:val="00FA4B11"/>
    <w:rsid w:val="00FA4B28"/>
    <w:rsid w:val="00FA5609"/>
    <w:rsid w:val="00FA5944"/>
    <w:rsid w:val="00FA5FB0"/>
    <w:rsid w:val="00FA623A"/>
    <w:rsid w:val="00FA79AA"/>
    <w:rsid w:val="00FA7A8E"/>
    <w:rsid w:val="00FA7E2E"/>
    <w:rsid w:val="00FB0354"/>
    <w:rsid w:val="00FB0AE5"/>
    <w:rsid w:val="00FB0B31"/>
    <w:rsid w:val="00FB0B5C"/>
    <w:rsid w:val="00FB0C38"/>
    <w:rsid w:val="00FB0DC0"/>
    <w:rsid w:val="00FB0E8E"/>
    <w:rsid w:val="00FB1E26"/>
    <w:rsid w:val="00FB1E2D"/>
    <w:rsid w:val="00FB2EC6"/>
    <w:rsid w:val="00FB372D"/>
    <w:rsid w:val="00FB3A89"/>
    <w:rsid w:val="00FB3F58"/>
    <w:rsid w:val="00FB46EF"/>
    <w:rsid w:val="00FB4879"/>
    <w:rsid w:val="00FB5528"/>
    <w:rsid w:val="00FB5B09"/>
    <w:rsid w:val="00FB633A"/>
    <w:rsid w:val="00FB73D6"/>
    <w:rsid w:val="00FB7F52"/>
    <w:rsid w:val="00FB7FE6"/>
    <w:rsid w:val="00FC07E6"/>
    <w:rsid w:val="00FC09FD"/>
    <w:rsid w:val="00FC14AA"/>
    <w:rsid w:val="00FC163E"/>
    <w:rsid w:val="00FC2D50"/>
    <w:rsid w:val="00FC2DAF"/>
    <w:rsid w:val="00FC378F"/>
    <w:rsid w:val="00FC37EF"/>
    <w:rsid w:val="00FC3C8E"/>
    <w:rsid w:val="00FC3FF6"/>
    <w:rsid w:val="00FC45E0"/>
    <w:rsid w:val="00FC4A14"/>
    <w:rsid w:val="00FC5583"/>
    <w:rsid w:val="00FC651E"/>
    <w:rsid w:val="00FC7B6F"/>
    <w:rsid w:val="00FC7BEB"/>
    <w:rsid w:val="00FD00EE"/>
    <w:rsid w:val="00FD036F"/>
    <w:rsid w:val="00FD0DC2"/>
    <w:rsid w:val="00FD1691"/>
    <w:rsid w:val="00FD2056"/>
    <w:rsid w:val="00FD247A"/>
    <w:rsid w:val="00FD255A"/>
    <w:rsid w:val="00FD29FF"/>
    <w:rsid w:val="00FD30B5"/>
    <w:rsid w:val="00FD31B4"/>
    <w:rsid w:val="00FD3251"/>
    <w:rsid w:val="00FD3F28"/>
    <w:rsid w:val="00FD402D"/>
    <w:rsid w:val="00FD45BD"/>
    <w:rsid w:val="00FD4C7E"/>
    <w:rsid w:val="00FD4F03"/>
    <w:rsid w:val="00FD5556"/>
    <w:rsid w:val="00FD57A9"/>
    <w:rsid w:val="00FD5C29"/>
    <w:rsid w:val="00FD5DCF"/>
    <w:rsid w:val="00FD61C9"/>
    <w:rsid w:val="00FD6350"/>
    <w:rsid w:val="00FD70ED"/>
    <w:rsid w:val="00FD7198"/>
    <w:rsid w:val="00FD769A"/>
    <w:rsid w:val="00FE0471"/>
    <w:rsid w:val="00FE04D2"/>
    <w:rsid w:val="00FE0667"/>
    <w:rsid w:val="00FE0BA0"/>
    <w:rsid w:val="00FE0CEE"/>
    <w:rsid w:val="00FE17FB"/>
    <w:rsid w:val="00FE1E78"/>
    <w:rsid w:val="00FE1F69"/>
    <w:rsid w:val="00FE1FFD"/>
    <w:rsid w:val="00FE247D"/>
    <w:rsid w:val="00FE24F1"/>
    <w:rsid w:val="00FE26EA"/>
    <w:rsid w:val="00FE3CD4"/>
    <w:rsid w:val="00FE403F"/>
    <w:rsid w:val="00FE41CA"/>
    <w:rsid w:val="00FE4630"/>
    <w:rsid w:val="00FE472B"/>
    <w:rsid w:val="00FE4D3A"/>
    <w:rsid w:val="00FE5655"/>
    <w:rsid w:val="00FE5CAB"/>
    <w:rsid w:val="00FE7040"/>
    <w:rsid w:val="00FE7500"/>
    <w:rsid w:val="00FE7BF9"/>
    <w:rsid w:val="00FE7D4A"/>
    <w:rsid w:val="00FF0332"/>
    <w:rsid w:val="00FF036F"/>
    <w:rsid w:val="00FF08C1"/>
    <w:rsid w:val="00FF08C5"/>
    <w:rsid w:val="00FF1DCA"/>
    <w:rsid w:val="00FF2A34"/>
    <w:rsid w:val="00FF2EC8"/>
    <w:rsid w:val="00FF2F8F"/>
    <w:rsid w:val="00FF3704"/>
    <w:rsid w:val="00FF4B74"/>
    <w:rsid w:val="00FF5675"/>
    <w:rsid w:val="00FF5B1E"/>
    <w:rsid w:val="00FF5C97"/>
    <w:rsid w:val="00FF63A0"/>
    <w:rsid w:val="00FF6501"/>
    <w:rsid w:val="00FF6BFD"/>
    <w:rsid w:val="00FF6CB1"/>
    <w:rsid w:val="00FF6D04"/>
    <w:rsid w:val="00FF6E30"/>
    <w:rsid w:val="00FF793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B57BA"/>
  <w15:docId w15:val="{AA627FF3-F826-49FA-A9FE-0D22E65E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Regular" w:eastAsia="Arial Regular" w:hAnsi="Arial Regular"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09"/>
    <w:pPr>
      <w:widowControl w:val="0"/>
      <w:suppressAutoHyphens/>
      <w:spacing w:before="220" w:after="220" w:line="220" w:lineRule="exact"/>
      <w:contextualSpacing/>
    </w:pPr>
    <w:rPr>
      <w:rFonts w:ascii="Arial" w:eastAsia="Times New Roman" w:hAnsi="Arial"/>
      <w:color w:val="000000"/>
      <w:sz w:val="18"/>
      <w:lang w:val="it-IT" w:eastAsia="it-IT"/>
    </w:rPr>
  </w:style>
  <w:style w:type="paragraph" w:styleId="Heading1">
    <w:name w:val="heading 1"/>
    <w:next w:val="Normal"/>
    <w:uiPriority w:val="9"/>
    <w:qFormat/>
    <w:pPr>
      <w:keepNext/>
      <w:keepLines/>
      <w:numPr>
        <w:numId w:val="7"/>
      </w:numPr>
      <w:suppressAutoHyphens/>
      <w:spacing w:after="220" w:line="440" w:lineRule="exact"/>
      <w:contextualSpacing/>
      <w:outlineLvl w:val="0"/>
    </w:pPr>
    <w:rPr>
      <w:rFonts w:ascii="Arial" w:eastAsia="Times New Roman" w:hAnsi="Arial"/>
      <w:color w:val="BD2027"/>
      <w:sz w:val="36"/>
      <w:szCs w:val="36"/>
      <w:lang w:val="it-IT" w:eastAsia="it-IT"/>
    </w:rPr>
  </w:style>
  <w:style w:type="paragraph" w:styleId="Heading2">
    <w:name w:val="heading 2"/>
    <w:basedOn w:val="Normal"/>
    <w:next w:val="Normal"/>
    <w:uiPriority w:val="9"/>
    <w:unhideWhenUsed/>
    <w:qFormat/>
    <w:pPr>
      <w:widowControl/>
      <w:numPr>
        <w:ilvl w:val="1"/>
        <w:numId w:val="7"/>
      </w:numPr>
      <w:outlineLvl w:val="1"/>
    </w:pPr>
    <w:rPr>
      <w:b/>
      <w:caps/>
      <w:color w:val="BD2027"/>
      <w:sz w:val="22"/>
      <w:szCs w:val="22"/>
    </w:rPr>
  </w:style>
  <w:style w:type="paragraph" w:styleId="Heading3">
    <w:name w:val="heading 3"/>
    <w:basedOn w:val="Normal"/>
    <w:next w:val="Normal"/>
    <w:uiPriority w:val="9"/>
    <w:unhideWhenUsed/>
    <w:qFormat/>
    <w:pPr>
      <w:keepNext/>
      <w:keepLines/>
      <w:numPr>
        <w:ilvl w:val="2"/>
        <w:numId w:val="7"/>
      </w:numPr>
      <w:outlineLvl w:val="2"/>
    </w:pPr>
    <w:rPr>
      <w:rFonts w:eastAsia="Arial Italic"/>
      <w:b/>
      <w:bCs/>
      <w:color w:val="BD2027"/>
    </w:rPr>
  </w:style>
  <w:style w:type="paragraph" w:styleId="Heading4">
    <w:name w:val="heading 4"/>
    <w:basedOn w:val="Normal"/>
    <w:next w:val="Normal"/>
    <w:link w:val="Heading4Char"/>
    <w:uiPriority w:val="9"/>
    <w:semiHidden/>
    <w:unhideWhenUsed/>
    <w:qFormat/>
    <w:rsid w:val="00D84D5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36A6"/>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36A6"/>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36A6"/>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36A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6A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TOCHeading">
    <w:name w:val="TOC Heading"/>
    <w:basedOn w:val="Heading1"/>
    <w:next w:val="Normal"/>
    <w:uiPriority w:val="39"/>
    <w:unhideWhenUsed/>
    <w:qFormat/>
    <w:rsid w:val="006B47B0"/>
    <w:pPr>
      <w:numPr>
        <w:numId w:val="0"/>
      </w:numPr>
      <w:suppressAutoHyphens w:val="0"/>
      <w:autoSpaceDN/>
      <w:spacing w:before="240" w:after="0" w:line="259" w:lineRule="auto"/>
      <w:contextualSpacing w:val="0"/>
      <w:outlineLvl w:val="9"/>
    </w:pPr>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32813"/>
    <w:pPr>
      <w:autoSpaceDN/>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1,Fußnotentext Char Char Char Char1,Fußnotentext Char Char Char Char Char Char1,Fußnotentext Char1 Char Char Char Char1,Fußnotentext Char1 Char Char Char Char Char Char1"/>
    <w:basedOn w:val="DefaultParagraphFont"/>
    <w:link w:val="FootnoteText"/>
    <w:uiPriority w:val="99"/>
    <w:rsid w:val="00F32813"/>
    <w:rPr>
      <w:rFonts w:ascii="Arial" w:eastAsia="Times New Roman" w:hAnsi="Arial"/>
      <w:color w:val="000000"/>
      <w:sz w:val="20"/>
      <w:szCs w:val="20"/>
      <w:lang w:val="it-IT" w:eastAsia="it-IT"/>
    </w:rPr>
  </w:style>
  <w:style w:type="character" w:customStyle="1" w:styleId="Heading1Char">
    <w:name w:val="Heading 1 Char"/>
    <w:basedOn w:val="DefaultParagraphFont"/>
    <w:rPr>
      <w:rFonts w:ascii="Arial" w:eastAsia="Times New Roman" w:hAnsi="Arial" w:cs="Times New Roman"/>
      <w:color w:val="BD2027"/>
      <w:sz w:val="36"/>
      <w:szCs w:val="36"/>
      <w:lang w:val="it-IT" w:eastAsia="it-IT"/>
    </w:rPr>
  </w:style>
  <w:style w:type="character" w:customStyle="1" w:styleId="Heading2Char">
    <w:name w:val="Heading 2 Char"/>
    <w:basedOn w:val="DefaultParagraphFont"/>
    <w:rPr>
      <w:rFonts w:ascii="Arial" w:eastAsia="Times New Roman" w:hAnsi="Arial" w:cs="Times New Roman"/>
      <w:b/>
      <w:caps/>
      <w:color w:val="BD2027"/>
      <w:sz w:val="22"/>
      <w:szCs w:val="22"/>
      <w:lang w:val="it-IT" w:eastAsia="it-IT"/>
    </w:rPr>
  </w:style>
  <w:style w:type="character" w:customStyle="1" w:styleId="Heading3Char">
    <w:name w:val="Heading 3 Char"/>
    <w:basedOn w:val="DefaultParagraphFont"/>
    <w:rPr>
      <w:rFonts w:ascii="Arial" w:eastAsia="Arial Italic" w:hAnsi="Arial" w:cs="Times New Roman"/>
      <w:b/>
      <w:bCs/>
      <w:color w:val="BD2027"/>
      <w:sz w:val="18"/>
      <w:lang w:val="it-IT" w:eastAsia="it-IT"/>
    </w:rPr>
  </w:style>
  <w:style w:type="character" w:styleId="PlaceholderText">
    <w:name w:val="Placeholder Text"/>
    <w:basedOn w:val="DefaultParagraphFont"/>
    <w:rPr>
      <w:color w:val="808080"/>
    </w:rPr>
  </w:style>
  <w:style w:type="paragraph" w:customStyle="1" w:styleId="interlinea0">
    <w:name w:val="interlinea 0"/>
    <w:pPr>
      <w:suppressAutoHyphens/>
    </w:pPr>
    <w:rPr>
      <w:rFonts w:ascii="Arial" w:eastAsia="Times New Roman" w:hAnsi="Arial"/>
      <w:b/>
      <w:color w:val="000000"/>
      <w:sz w:val="2"/>
      <w:szCs w:val="12"/>
      <w:lang w:val="it-IT" w:eastAsia="it-IT"/>
    </w:r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Arial" w:eastAsia="Times New Roman" w:hAnsi="Arial" w:cs="Times New Roman"/>
      <w:color w:val="000000"/>
      <w:sz w:val="18"/>
      <w:lang w:val="it-IT" w:eastAsia="it-IT"/>
    </w:rPr>
  </w:style>
  <w:style w:type="paragraph" w:styleId="Footer">
    <w:name w:val="footer"/>
    <w:basedOn w:val="Normal"/>
    <w:link w:val="FooterChar1"/>
    <w:autoRedefine/>
    <w:uiPriority w:val="99"/>
    <w:rsid w:val="003A4F3E"/>
    <w:pPr>
      <w:tabs>
        <w:tab w:val="center" w:pos="4320"/>
        <w:tab w:val="right" w:pos="8640"/>
      </w:tabs>
      <w:spacing w:before="0" w:after="0" w:line="240" w:lineRule="auto"/>
      <w:jc w:val="right"/>
    </w:pPr>
    <w:rPr>
      <w:b/>
      <w:sz w:val="14"/>
      <w:szCs w:val="12"/>
    </w:rPr>
  </w:style>
  <w:style w:type="character" w:customStyle="1" w:styleId="FooterChar">
    <w:name w:val="Footer Char"/>
    <w:basedOn w:val="DefaultParagraphFont"/>
    <w:uiPriority w:val="99"/>
    <w:rPr>
      <w:rFonts w:ascii="Arial" w:eastAsia="Times New Roman" w:hAnsi="Arial" w:cs="Times New Roman"/>
      <w:b/>
      <w:color w:val="000000"/>
      <w:sz w:val="14"/>
      <w:szCs w:val="12"/>
      <w:lang w:val="it-IT" w:eastAsia="it-IT"/>
    </w:rPr>
  </w:style>
  <w:style w:type="paragraph" w:styleId="BalloonText">
    <w:name w:val="Balloon Text"/>
    <w:basedOn w:val="Normal"/>
    <w:rPr>
      <w:rFonts w:ascii="Lucida Grande" w:hAnsi="Lucida Grande" w:cs="Lucida Grande"/>
      <w:szCs w:val="18"/>
    </w:rPr>
  </w:style>
  <w:style w:type="character" w:customStyle="1" w:styleId="BalloonTextChar">
    <w:name w:val="Balloon Text Char"/>
    <w:basedOn w:val="DefaultParagraphFont"/>
    <w:rPr>
      <w:rFonts w:ascii="Lucida Grande" w:eastAsia="Times New Roman" w:hAnsi="Lucida Grande" w:cs="Lucida Grande"/>
      <w:color w:val="000000"/>
      <w:sz w:val="18"/>
      <w:szCs w:val="18"/>
      <w:lang w:val="it-IT" w:eastAsia="it-IT"/>
    </w:rPr>
  </w:style>
  <w:style w:type="character" w:customStyle="1" w:styleId="Bold">
    <w:name w:val="Bold"/>
    <w:basedOn w:val="DefaultParagraphFont"/>
    <w:rPr>
      <w:b/>
    </w:rPr>
  </w:style>
  <w:style w:type="paragraph" w:customStyle="1" w:styleId="DataPressreleasered">
    <w:name w:val="Data_Pressrelease_red"/>
    <w:pPr>
      <w:suppressAutoHyphens/>
      <w:spacing w:line="192" w:lineRule="exact"/>
    </w:pPr>
    <w:rPr>
      <w:rFonts w:ascii="Arial" w:eastAsia="Times New Roman" w:hAnsi="Arial"/>
      <w:color w:val="BD2027"/>
      <w:sz w:val="18"/>
      <w:lang w:val="it-IT" w:eastAsia="it-IT"/>
    </w:rPr>
  </w:style>
  <w:style w:type="character" w:styleId="FootnoteReference">
    <w:name w:val="footnote reference"/>
    <w:uiPriority w:val="99"/>
    <w:rPr>
      <w:rFonts w:ascii="Arial" w:hAnsi="Arial"/>
      <w:position w:val="0"/>
      <w:sz w:val="14"/>
      <w:shd w:val="clear" w:color="auto" w:fill="auto"/>
      <w:vertAlign w:val="superscript"/>
    </w:rPr>
  </w:style>
  <w:style w:type="paragraph" w:customStyle="1" w:styleId="Gaddress">
    <w:name w:val="G_address"/>
    <w:autoRedefine/>
    <w:pPr>
      <w:suppressAutoHyphens/>
      <w:spacing w:line="160" w:lineRule="exact"/>
    </w:pPr>
    <w:rPr>
      <w:rFonts w:ascii="Arial" w:eastAsia="Times New Roman" w:hAnsi="Arial"/>
      <w:color w:val="000000"/>
      <w:sz w:val="12"/>
      <w:szCs w:val="12"/>
      <w:lang w:val="it-IT" w:eastAsia="it-IT"/>
    </w:rPr>
  </w:style>
  <w:style w:type="paragraph" w:customStyle="1" w:styleId="Gcitydate">
    <w:name w:val="G_city/date"/>
    <w:autoRedefine/>
    <w:pPr>
      <w:suppressAutoHyphens/>
      <w:spacing w:line="220" w:lineRule="exact"/>
    </w:pPr>
    <w:rPr>
      <w:rFonts w:ascii="Arial" w:eastAsia="Times New Roman" w:hAnsi="Arial"/>
      <w:color w:val="000000"/>
      <w:sz w:val="18"/>
      <w:lang w:val="it-IT" w:eastAsia="it-IT"/>
    </w:rPr>
  </w:style>
  <w:style w:type="paragraph" w:customStyle="1" w:styleId="Gfootnote">
    <w:name w:val="G_footnote"/>
    <w:autoRedefine/>
    <w:pPr>
      <w:suppressAutoHyphens/>
      <w:spacing w:before="220" w:line="168" w:lineRule="exact"/>
      <w:ind w:left="91" w:hanging="91"/>
    </w:pPr>
    <w:rPr>
      <w:rFonts w:ascii="Arial" w:eastAsia="Times New Roman" w:hAnsi="Arial"/>
      <w:color w:val="000000"/>
      <w:sz w:val="14"/>
      <w:szCs w:val="14"/>
      <w:lang w:val="it-IT" w:eastAsia="it-IT"/>
    </w:rPr>
  </w:style>
  <w:style w:type="character" w:customStyle="1" w:styleId="grassetto">
    <w:name w:val="grassetto"/>
    <w:basedOn w:val="DefaultParagraphFont"/>
    <w:rPr>
      <w:b/>
    </w:rPr>
  </w:style>
  <w:style w:type="character" w:styleId="Hyperlink">
    <w:name w:val="Hyperlink"/>
    <w:basedOn w:val="DefaultParagraphFont"/>
    <w:uiPriority w:val="99"/>
    <w:rPr>
      <w:color w:val="BD2027"/>
      <w:u w:val="single"/>
    </w:rPr>
  </w:style>
  <w:style w:type="character" w:customStyle="1" w:styleId="italico">
    <w:name w:val="italico"/>
    <w:basedOn w:val="DefaultParagraphFont"/>
    <w:uiPriority w:val="1"/>
    <w:qFormat/>
    <w:rPr>
      <w:i/>
    </w:rPr>
  </w:style>
  <w:style w:type="paragraph" w:styleId="ListParagraph">
    <w:name w:val="List Paragraph"/>
    <w:aliases w:val="text bullet,List Numbers,Paragraphe EI,Paragraphe de liste1,EC,Normal bullet 2,Bullet list,List Paragraph1,Numbered List,1st level - Bullet List Paragraph,Lettre d'introduction,Medium Grid 1 - Accent 21,List Paragraph11"/>
    <w:basedOn w:val="Normal"/>
    <w:link w:val="ListParagraphChar"/>
    <w:autoRedefine/>
    <w:uiPriority w:val="34"/>
    <w:qFormat/>
    <w:rsid w:val="00AA6795"/>
    <w:pPr>
      <w:widowControl/>
      <w:numPr>
        <w:ilvl w:val="1"/>
        <w:numId w:val="32"/>
      </w:numPr>
      <w:suppressAutoHyphens w:val="0"/>
      <w:autoSpaceDE w:val="0"/>
      <w:autoSpaceDN/>
      <w:adjustRightInd w:val="0"/>
      <w:spacing w:before="0" w:after="60" w:line="240" w:lineRule="auto"/>
      <w:contextualSpacing w:val="0"/>
      <w:jc w:val="both"/>
    </w:pPr>
    <w:rPr>
      <w:rFonts w:eastAsia="Calibri"/>
      <w:noProof/>
      <w:sz w:val="16"/>
      <w:szCs w:val="20"/>
      <w:lang w:val="en-GB" w:eastAsia="en-US"/>
    </w:rPr>
  </w:style>
  <w:style w:type="paragraph" w:customStyle="1" w:styleId="Tablenote">
    <w:name w:val="Table note"/>
    <w:pPr>
      <w:tabs>
        <w:tab w:val="left" w:pos="2939"/>
      </w:tabs>
      <w:suppressAutoHyphens/>
      <w:spacing w:before="180" w:line="180" w:lineRule="exact"/>
    </w:pPr>
    <w:rPr>
      <w:rFonts w:ascii="Arial" w:eastAsia="Times New Roman" w:hAnsi="Arial"/>
      <w:color w:val="000000"/>
      <w:sz w:val="14"/>
      <w:szCs w:val="14"/>
      <w:lang w:val="it-IT" w:eastAsia="it-IT"/>
    </w:rPr>
  </w:style>
  <w:style w:type="paragraph" w:customStyle="1" w:styleId="Tabletitle">
    <w:name w:val="Table title"/>
    <w:autoRedefine/>
    <w:pPr>
      <w:suppressAutoHyphens/>
      <w:spacing w:line="220" w:lineRule="exact"/>
    </w:pPr>
    <w:rPr>
      <w:rFonts w:ascii="Arial" w:eastAsia="Times New Roman" w:hAnsi="Arial"/>
      <w:b/>
      <w:color w:val="BD2027"/>
      <w:sz w:val="18"/>
      <w:lang w:val="it-IT" w:eastAsia="it-IT"/>
    </w:rPr>
  </w:style>
  <w:style w:type="paragraph" w:customStyle="1" w:styleId="tabletxt1level">
    <w:name w:val="table txt 1 level"/>
    <w:basedOn w:val="Tabletitle"/>
    <w:autoRedefine/>
    <w:pPr>
      <w:tabs>
        <w:tab w:val="left" w:pos="2939"/>
      </w:tabs>
      <w:spacing w:line="160" w:lineRule="exact"/>
    </w:pPr>
    <w:rPr>
      <w:b w:val="0"/>
      <w:color w:val="000000"/>
      <w:sz w:val="16"/>
      <w:szCs w:val="16"/>
    </w:rPr>
  </w:style>
  <w:style w:type="paragraph" w:customStyle="1" w:styleId="Tabletxt2levelbullet">
    <w:name w:val="Table txt 2 level_bullet"/>
    <w:basedOn w:val="tabletxt1level"/>
    <w:autoRedefine/>
    <w:qFormat/>
    <w:rsid w:val="00B05DCD"/>
    <w:pPr>
      <w:autoSpaceDN/>
      <w:ind w:left="27"/>
      <w:jc w:val="both"/>
    </w:pPr>
    <w:rPr>
      <w:rFonts w:cs="Arial"/>
      <w:color w:val="auto"/>
      <w:sz w:val="18"/>
      <w:szCs w:val="18"/>
      <w:lang w:val="en-GB"/>
    </w:rPr>
  </w:style>
  <w:style w:type="paragraph" w:customStyle="1" w:styleId="tabletxt3levelbullet">
    <w:name w:val="table txt 3 level_bullet"/>
    <w:basedOn w:val="tabletxt1level"/>
    <w:autoRedefine/>
    <w:pPr>
      <w:numPr>
        <w:numId w:val="4"/>
      </w:numPr>
    </w:pPr>
  </w:style>
  <w:style w:type="paragraph" w:customStyle="1" w:styleId="textbullet">
    <w:name w:val="text_bullet"/>
    <w:basedOn w:val="ListParagraph"/>
    <w:autoRedefine/>
    <w:qFormat/>
    <w:pPr>
      <w:framePr w:wrap="around" w:hAnchor="text"/>
      <w:numPr>
        <w:numId w:val="5"/>
      </w:numPr>
    </w:pPr>
    <w:rPr>
      <w:szCs w:val="18"/>
    </w:rPr>
  </w:style>
  <w:style w:type="paragraph" w:customStyle="1" w:styleId="GcoverGeneraliGroup">
    <w:name w:val="G_cover_Generali Group"/>
    <w:pPr>
      <w:tabs>
        <w:tab w:val="left" w:pos="3517"/>
      </w:tabs>
      <w:suppressAutoHyphens/>
      <w:spacing w:line="320" w:lineRule="exact"/>
    </w:pPr>
    <w:rPr>
      <w:rFonts w:ascii="Arial" w:eastAsia="Times New Roman" w:hAnsi="Arial"/>
      <w:b/>
      <w:color w:val="000000"/>
      <w:sz w:val="32"/>
      <w:szCs w:val="32"/>
      <w:lang w:val="it-IT" w:eastAsia="it-IT"/>
    </w:rPr>
  </w:style>
  <w:style w:type="character" w:customStyle="1" w:styleId="GcoverGeneraliGroupCarattere">
    <w:name w:val="G_cover_Generali Group Carattere"/>
    <w:basedOn w:val="DefaultParagraphFont"/>
    <w:rPr>
      <w:rFonts w:ascii="Arial" w:eastAsia="Times New Roman" w:hAnsi="Arial" w:cs="Times New Roman"/>
      <w:b/>
      <w:color w:val="000000"/>
      <w:sz w:val="32"/>
      <w:szCs w:val="32"/>
      <w:lang w:val="it-IT" w:eastAsia="it-IT"/>
    </w:rPr>
  </w:style>
  <w:style w:type="paragraph" w:customStyle="1" w:styleId="GcoverTitle">
    <w:name w:val="G cover Title"/>
    <w:basedOn w:val="GcoverGeneraliGroup"/>
    <w:pPr>
      <w:spacing w:line="440" w:lineRule="exact"/>
    </w:pPr>
    <w:rPr>
      <w:b w:val="0"/>
      <w:caps/>
      <w:sz w:val="36"/>
    </w:rPr>
  </w:style>
  <w:style w:type="paragraph" w:customStyle="1" w:styleId="Gcoversubtitle">
    <w:name w:val="G cover_subtitle"/>
    <w:basedOn w:val="GcoverTitle"/>
    <w:qFormat/>
    <w:pPr>
      <w:spacing w:line="280" w:lineRule="exact"/>
    </w:pPr>
    <w:rPr>
      <w:caps w:val="0"/>
      <w:sz w:val="22"/>
    </w:rPr>
  </w:style>
  <w:style w:type="paragraph" w:customStyle="1" w:styleId="Gcoverwebsitesite">
    <w:name w:val="G_cover_websitesite"/>
    <w:pPr>
      <w:suppressAutoHyphens/>
    </w:pPr>
    <w:rPr>
      <w:rFonts w:ascii="Arial" w:eastAsia="Times New Roman" w:hAnsi="Arial"/>
      <w:color w:val="BD2027"/>
      <w:sz w:val="18"/>
      <w:lang w:val="it-IT" w:eastAsia="it-IT"/>
    </w:rPr>
  </w:style>
  <w:style w:type="paragraph" w:customStyle="1" w:styleId="Gindextitle">
    <w:name w:val="G_index_title"/>
    <w:qFormat/>
    <w:pPr>
      <w:suppressAutoHyphens/>
      <w:spacing w:after="440" w:line="220" w:lineRule="exact"/>
    </w:pPr>
    <w:rPr>
      <w:rFonts w:ascii="Arial" w:eastAsia="Times New Roman" w:hAnsi="Arial"/>
      <w:b/>
      <w:caps/>
      <w:color w:val="BD2027"/>
      <w:sz w:val="22"/>
      <w:lang w:val="it-IT" w:eastAsia="it-IT"/>
    </w:rPr>
  </w:style>
  <w:style w:type="paragraph" w:styleId="FootnoteText">
    <w:name w:val="footnote text"/>
    <w:aliases w:val="Footnote Text Char Char,Fußnotentext Char Char Char,Fußnotentext Char Char Char Char Char,Fußnotentext Char1 Char Char Char,Fußnotentext Char1 Char Char Char Char Char"/>
    <w:basedOn w:val="Normal"/>
    <w:link w:val="FootnoteTextChar1"/>
    <w:uiPriority w:val="99"/>
    <w:pPr>
      <w:spacing w:before="0" w:after="0" w:line="240" w:lineRule="auto"/>
    </w:pPr>
    <w:rPr>
      <w:sz w:val="20"/>
      <w:szCs w:val="20"/>
    </w:rPr>
  </w:style>
  <w:style w:type="character" w:customStyle="1" w:styleId="FootnoteTextChar">
    <w:name w:val="Footnote Text Char"/>
    <w:aliases w:val="Footnote Text Char Char Char,Footnote Text Char1 Char,Fußnotentext Char Char Char Char,Fußnotentext Char Char Char Char Char Char,Fußnotentext Char1 Char Char Char Char,Fußnotentext Char1 Char Char Char Char Char Char"/>
    <w:basedOn w:val="DefaultParagraphFont"/>
    <w:uiPriority w:val="99"/>
    <w:rPr>
      <w:rFonts w:ascii="Arial" w:eastAsia="Times New Roman" w:hAnsi="Arial" w:cs="Times New Roman"/>
      <w:color w:val="000000"/>
      <w:sz w:val="20"/>
      <w:szCs w:val="20"/>
      <w:lang w:val="it-IT" w:eastAsia="it-IT"/>
    </w:rPr>
  </w:style>
  <w:style w:type="paragraph" w:customStyle="1" w:styleId="IntroductionTitle">
    <w:name w:val="Introduction Title"/>
    <w:pPr>
      <w:suppressAutoHyphens/>
      <w:spacing w:after="220"/>
      <w:contextualSpacing/>
    </w:pPr>
    <w:rPr>
      <w:rFonts w:ascii="Arial" w:eastAsia="Times New Roman" w:hAnsi="Arial"/>
      <w:color w:val="BD2027"/>
      <w:sz w:val="36"/>
      <w:szCs w:val="36"/>
      <w:lang w:val="it-IT" w:eastAsia="it-IT"/>
    </w:rPr>
  </w:style>
  <w:style w:type="paragraph" w:styleId="TOC2">
    <w:name w:val="toc 2"/>
    <w:basedOn w:val="Normal"/>
    <w:next w:val="Normal"/>
    <w:autoRedefine/>
    <w:uiPriority w:val="39"/>
    <w:rsid w:val="006C70E9"/>
    <w:pPr>
      <w:tabs>
        <w:tab w:val="left" w:pos="360"/>
        <w:tab w:val="right" w:pos="10206"/>
      </w:tabs>
      <w:spacing w:after="0" w:line="240" w:lineRule="auto"/>
    </w:pPr>
    <w:rPr>
      <w:noProof/>
      <w:szCs w:val="20"/>
      <w:lang w:val="en-US"/>
    </w:rPr>
  </w:style>
  <w:style w:type="paragraph" w:styleId="TOC1">
    <w:name w:val="toc 1"/>
    <w:basedOn w:val="Normal"/>
    <w:next w:val="TOC2"/>
    <w:autoRedefine/>
    <w:uiPriority w:val="39"/>
    <w:rsid w:val="00254F7E"/>
    <w:pPr>
      <w:tabs>
        <w:tab w:val="left" w:pos="357"/>
        <w:tab w:val="right" w:leader="dot" w:pos="10188"/>
      </w:tabs>
      <w:spacing w:line="240" w:lineRule="auto"/>
      <w:contextualSpacing w:val="0"/>
    </w:pPr>
    <w:rPr>
      <w:b/>
      <w:bCs/>
      <w:noProof/>
      <w:lang w:val="en-US"/>
    </w:rPr>
  </w:style>
  <w:style w:type="paragraph" w:styleId="TOC3">
    <w:name w:val="toc 3"/>
    <w:basedOn w:val="Normal"/>
    <w:next w:val="Normal"/>
    <w:autoRedefine/>
    <w:uiPriority w:val="39"/>
    <w:pPr>
      <w:spacing w:after="0"/>
      <w:ind w:left="357"/>
    </w:pPr>
  </w:style>
  <w:style w:type="paragraph" w:styleId="TOC4">
    <w:name w:val="toc 4"/>
    <w:basedOn w:val="Normal"/>
    <w:next w:val="Normal"/>
    <w:autoRedefine/>
    <w:pPr>
      <w:ind w:left="540"/>
    </w:pPr>
  </w:style>
  <w:style w:type="paragraph" w:styleId="TOC5">
    <w:name w:val="toc 5"/>
    <w:basedOn w:val="Normal"/>
    <w:next w:val="Normal"/>
    <w:autoRedefine/>
    <w:pPr>
      <w:ind w:left="720"/>
    </w:pPr>
  </w:style>
  <w:style w:type="paragraph" w:styleId="TOC6">
    <w:name w:val="toc 6"/>
    <w:basedOn w:val="Normal"/>
    <w:next w:val="Normal"/>
    <w:autoRedefine/>
    <w:pPr>
      <w:ind w:left="900"/>
    </w:pPr>
  </w:style>
  <w:style w:type="paragraph" w:styleId="TOC7">
    <w:name w:val="toc 7"/>
    <w:basedOn w:val="Normal"/>
    <w:next w:val="Normal"/>
    <w:autoRedefine/>
    <w:pPr>
      <w:ind w:left="1080"/>
    </w:pPr>
  </w:style>
  <w:style w:type="paragraph" w:styleId="TOC8">
    <w:name w:val="toc 8"/>
    <w:basedOn w:val="Normal"/>
    <w:next w:val="Normal"/>
    <w:autoRedefine/>
    <w:pPr>
      <w:ind w:left="1260"/>
    </w:pPr>
  </w:style>
  <w:style w:type="paragraph" w:styleId="TOC9">
    <w:name w:val="toc 9"/>
    <w:basedOn w:val="Normal"/>
    <w:next w:val="Normal"/>
    <w:autoRedefine/>
    <w:pPr>
      <w:ind w:left="1440"/>
    </w:pPr>
  </w:style>
  <w:style w:type="character" w:customStyle="1" w:styleId="ListParagraphChar">
    <w:name w:val="List Paragraph Char"/>
    <w:aliases w:val="text bullet Char,List Numbers Char,Paragraphe EI Char,Paragraphe de liste1 Char,EC Char,Normal bullet 2 Char,Bullet list Char,List Paragraph1 Char,Numbered List Char,1st level - Bullet List Paragraph Char,Lettre d'introduction Char"/>
    <w:basedOn w:val="DefaultParagraphFont"/>
    <w:link w:val="ListParagraph"/>
    <w:uiPriority w:val="34"/>
    <w:qFormat/>
    <w:locked/>
    <w:rsid w:val="00AA6795"/>
    <w:rPr>
      <w:rFonts w:ascii="Arial" w:eastAsia="Calibri" w:hAnsi="Arial"/>
      <w:noProof/>
      <w:color w:val="000000"/>
      <w:sz w:val="16"/>
      <w:szCs w:val="20"/>
      <w:lang w:val="en-GB"/>
    </w:rPr>
  </w:style>
  <w:style w:type="character" w:customStyle="1" w:styleId="FooterChar1">
    <w:name w:val="Footer Char1"/>
    <w:basedOn w:val="DefaultParagraphFont"/>
    <w:link w:val="Footer"/>
    <w:uiPriority w:val="99"/>
    <w:rsid w:val="003A4F3E"/>
    <w:rPr>
      <w:rFonts w:ascii="Arial" w:eastAsia="Times New Roman" w:hAnsi="Arial"/>
      <w:b/>
      <w:color w:val="000000"/>
      <w:sz w:val="14"/>
      <w:szCs w:val="12"/>
      <w:lang w:val="it-IT" w:eastAsia="it-IT"/>
    </w:rPr>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7">
    <w:name w:val="LFO7"/>
    <w:basedOn w:val="NoList"/>
    <w:pPr>
      <w:numPr>
        <w:numId w:val="6"/>
      </w:numPr>
    </w:pPr>
  </w:style>
  <w:style w:type="character" w:customStyle="1" w:styleId="Heading4Char">
    <w:name w:val="Heading 4 Char"/>
    <w:basedOn w:val="DefaultParagraphFont"/>
    <w:link w:val="Heading4"/>
    <w:uiPriority w:val="9"/>
    <w:semiHidden/>
    <w:rsid w:val="00D84D51"/>
    <w:rPr>
      <w:rFonts w:asciiTheme="majorHAnsi" w:eastAsiaTheme="majorEastAsia" w:hAnsiTheme="majorHAnsi" w:cstheme="majorBidi"/>
      <w:i/>
      <w:iCs/>
      <w:color w:val="2F5496" w:themeColor="accent1" w:themeShade="BF"/>
      <w:sz w:val="18"/>
      <w:lang w:val="it-IT" w:eastAsia="it-IT"/>
    </w:rPr>
  </w:style>
  <w:style w:type="character" w:customStyle="1" w:styleId="Heading5Char">
    <w:name w:val="Heading 5 Char"/>
    <w:basedOn w:val="DefaultParagraphFont"/>
    <w:link w:val="Heading5"/>
    <w:uiPriority w:val="9"/>
    <w:semiHidden/>
    <w:rsid w:val="008D36A6"/>
    <w:rPr>
      <w:rFonts w:asciiTheme="majorHAnsi" w:eastAsiaTheme="majorEastAsia" w:hAnsiTheme="majorHAnsi" w:cstheme="majorBidi"/>
      <w:color w:val="2F5496" w:themeColor="accent1" w:themeShade="BF"/>
      <w:sz w:val="18"/>
      <w:lang w:val="it-IT" w:eastAsia="it-IT"/>
    </w:rPr>
  </w:style>
  <w:style w:type="character" w:customStyle="1" w:styleId="Heading6Char">
    <w:name w:val="Heading 6 Char"/>
    <w:basedOn w:val="DefaultParagraphFont"/>
    <w:link w:val="Heading6"/>
    <w:uiPriority w:val="9"/>
    <w:semiHidden/>
    <w:rsid w:val="008D36A6"/>
    <w:rPr>
      <w:rFonts w:asciiTheme="majorHAnsi" w:eastAsiaTheme="majorEastAsia" w:hAnsiTheme="majorHAnsi" w:cstheme="majorBidi"/>
      <w:color w:val="1F3763" w:themeColor="accent1" w:themeShade="7F"/>
      <w:sz w:val="18"/>
      <w:lang w:val="it-IT" w:eastAsia="it-IT"/>
    </w:rPr>
  </w:style>
  <w:style w:type="character" w:customStyle="1" w:styleId="Heading7Char">
    <w:name w:val="Heading 7 Char"/>
    <w:basedOn w:val="DefaultParagraphFont"/>
    <w:link w:val="Heading7"/>
    <w:uiPriority w:val="9"/>
    <w:semiHidden/>
    <w:rsid w:val="008D36A6"/>
    <w:rPr>
      <w:rFonts w:asciiTheme="majorHAnsi" w:eastAsiaTheme="majorEastAsia" w:hAnsiTheme="majorHAnsi" w:cstheme="majorBidi"/>
      <w:i/>
      <w:iCs/>
      <w:color w:val="1F3763" w:themeColor="accent1" w:themeShade="7F"/>
      <w:sz w:val="18"/>
      <w:lang w:val="it-IT" w:eastAsia="it-IT"/>
    </w:rPr>
  </w:style>
  <w:style w:type="character" w:customStyle="1" w:styleId="Heading8Char">
    <w:name w:val="Heading 8 Char"/>
    <w:basedOn w:val="DefaultParagraphFont"/>
    <w:link w:val="Heading8"/>
    <w:uiPriority w:val="9"/>
    <w:semiHidden/>
    <w:rsid w:val="008D36A6"/>
    <w:rPr>
      <w:rFonts w:asciiTheme="majorHAnsi" w:eastAsiaTheme="majorEastAsia" w:hAnsiTheme="majorHAnsi" w:cstheme="majorBidi"/>
      <w:color w:val="272727" w:themeColor="text1" w:themeTint="D8"/>
      <w:sz w:val="21"/>
      <w:szCs w:val="21"/>
      <w:lang w:val="it-IT" w:eastAsia="it-IT"/>
    </w:rPr>
  </w:style>
  <w:style w:type="character" w:customStyle="1" w:styleId="Heading9Char">
    <w:name w:val="Heading 9 Char"/>
    <w:basedOn w:val="DefaultParagraphFont"/>
    <w:link w:val="Heading9"/>
    <w:uiPriority w:val="9"/>
    <w:semiHidden/>
    <w:rsid w:val="008D36A6"/>
    <w:rPr>
      <w:rFonts w:asciiTheme="majorHAnsi" w:eastAsiaTheme="majorEastAsia" w:hAnsiTheme="majorHAnsi" w:cstheme="majorBidi"/>
      <w:i/>
      <w:iCs/>
      <w:color w:val="272727" w:themeColor="text1" w:themeTint="D8"/>
      <w:sz w:val="21"/>
      <w:szCs w:val="21"/>
      <w:lang w:val="it-IT" w:eastAsia="it-IT"/>
    </w:rPr>
  </w:style>
  <w:style w:type="character" w:styleId="CommentReference">
    <w:name w:val="annotation reference"/>
    <w:basedOn w:val="DefaultParagraphFont"/>
    <w:unhideWhenUsed/>
    <w:rsid w:val="001927B0"/>
    <w:rPr>
      <w:sz w:val="16"/>
      <w:szCs w:val="16"/>
    </w:rPr>
  </w:style>
  <w:style w:type="paragraph" w:styleId="CommentText">
    <w:name w:val="annotation text"/>
    <w:basedOn w:val="Normal"/>
    <w:link w:val="CommentTextChar"/>
    <w:uiPriority w:val="99"/>
    <w:unhideWhenUsed/>
    <w:rsid w:val="001927B0"/>
    <w:pPr>
      <w:spacing w:line="240" w:lineRule="auto"/>
    </w:pPr>
    <w:rPr>
      <w:sz w:val="20"/>
      <w:szCs w:val="20"/>
    </w:rPr>
  </w:style>
  <w:style w:type="character" w:customStyle="1" w:styleId="CommentTextChar">
    <w:name w:val="Comment Text Char"/>
    <w:basedOn w:val="DefaultParagraphFont"/>
    <w:link w:val="CommentText"/>
    <w:uiPriority w:val="99"/>
    <w:rsid w:val="001927B0"/>
    <w:rPr>
      <w:rFonts w:ascii="Arial" w:eastAsia="Times New Roman" w:hAnsi="Arial"/>
      <w:color w:val="000000"/>
      <w:sz w:val="20"/>
      <w:szCs w:val="20"/>
      <w:lang w:val="it-IT" w:eastAsia="it-IT"/>
    </w:rPr>
  </w:style>
  <w:style w:type="paragraph" w:styleId="CommentSubject">
    <w:name w:val="annotation subject"/>
    <w:basedOn w:val="CommentText"/>
    <w:next w:val="CommentText"/>
    <w:link w:val="CommentSubjectChar"/>
    <w:uiPriority w:val="99"/>
    <w:semiHidden/>
    <w:unhideWhenUsed/>
    <w:rsid w:val="001927B0"/>
    <w:rPr>
      <w:b/>
      <w:bCs/>
    </w:rPr>
  </w:style>
  <w:style w:type="character" w:customStyle="1" w:styleId="CommentSubjectChar">
    <w:name w:val="Comment Subject Char"/>
    <w:basedOn w:val="CommentTextChar"/>
    <w:link w:val="CommentSubject"/>
    <w:uiPriority w:val="99"/>
    <w:semiHidden/>
    <w:rsid w:val="001927B0"/>
    <w:rPr>
      <w:rFonts w:ascii="Arial" w:eastAsia="Times New Roman" w:hAnsi="Arial"/>
      <w:b/>
      <w:bCs/>
      <w:color w:val="000000"/>
      <w:sz w:val="20"/>
      <w:szCs w:val="20"/>
      <w:lang w:val="it-IT" w:eastAsia="it-IT"/>
    </w:rPr>
  </w:style>
  <w:style w:type="paragraph" w:customStyle="1" w:styleId="Default">
    <w:name w:val="Default"/>
    <w:rsid w:val="001927B0"/>
    <w:pPr>
      <w:autoSpaceDE w:val="0"/>
      <w:adjustRightInd w:val="0"/>
    </w:pPr>
    <w:rPr>
      <w:rFonts w:ascii="EUAlbertina" w:hAnsi="EUAlbertina" w:cs="EUAlbertina"/>
      <w:color w:val="000000"/>
      <w:lang w:val="it-IT"/>
    </w:rPr>
  </w:style>
  <w:style w:type="paragraph" w:styleId="List">
    <w:name w:val="List"/>
    <w:autoRedefine/>
    <w:uiPriority w:val="99"/>
    <w:semiHidden/>
    <w:qFormat/>
    <w:rsid w:val="001927B0"/>
    <w:pPr>
      <w:numPr>
        <w:numId w:val="8"/>
      </w:numPr>
      <w:autoSpaceDN/>
      <w:spacing w:before="240" w:after="120"/>
      <w:contextualSpacing/>
    </w:pPr>
    <w:rPr>
      <w:rFonts w:asciiTheme="minorHAnsi" w:eastAsiaTheme="minorEastAsia" w:hAnsiTheme="minorHAnsi" w:cstheme="minorBidi"/>
      <w:sz w:val="22"/>
    </w:rPr>
  </w:style>
  <w:style w:type="table" w:customStyle="1" w:styleId="TableGrid2">
    <w:name w:val="Table Grid2"/>
    <w:basedOn w:val="TableNormal"/>
    <w:uiPriority w:val="39"/>
    <w:rsid w:val="001927B0"/>
    <w:pPr>
      <w:autoSpaceDN/>
    </w:pPr>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AF7CC8"/>
    <w:pPr>
      <w:autoSpaceDN/>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A2929"/>
    <w:pPr>
      <w:autoSpaceDN/>
    </w:pPr>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E5D"/>
    <w:pPr>
      <w:widowControl w:val="0"/>
      <w:autoSpaceDN/>
      <w:contextualSpacing/>
    </w:pPr>
    <w:rPr>
      <w:rFonts w:ascii="Arial" w:eastAsia="Times New Roman" w:hAnsi="Arial"/>
      <w:color w:val="000000"/>
      <w:sz w:val="18"/>
      <w:lang w:val="it-IT" w:eastAsia="it-IT"/>
    </w:rPr>
  </w:style>
  <w:style w:type="table" w:customStyle="1" w:styleId="TableGrid3">
    <w:name w:val="Table Grid3"/>
    <w:basedOn w:val="TableNormal"/>
    <w:next w:val="TableGrid"/>
    <w:uiPriority w:val="39"/>
    <w:rsid w:val="005D76F6"/>
    <w:pPr>
      <w:autoSpaceDN/>
    </w:pPr>
    <w:rPr>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7868"/>
    <w:pPr>
      <w:autoSpaceDN/>
    </w:pPr>
    <w:rPr>
      <w:rFonts w:ascii="Arial" w:eastAsia="Times New Roman" w:hAnsi="Arial"/>
      <w:color w:val="000000"/>
      <w:sz w:val="18"/>
      <w:lang w:val="it-IT" w:eastAsia="it-IT"/>
    </w:rPr>
  </w:style>
  <w:style w:type="character" w:styleId="UnresolvedMention">
    <w:name w:val="Unresolved Mention"/>
    <w:basedOn w:val="DefaultParagraphFont"/>
    <w:uiPriority w:val="99"/>
    <w:unhideWhenUsed/>
    <w:rsid w:val="00C06B3D"/>
    <w:rPr>
      <w:color w:val="605E5C"/>
      <w:shd w:val="clear" w:color="auto" w:fill="E1DFDD"/>
    </w:rPr>
  </w:style>
  <w:style w:type="character" w:styleId="FollowedHyperlink">
    <w:name w:val="FollowedHyperlink"/>
    <w:basedOn w:val="DefaultParagraphFont"/>
    <w:uiPriority w:val="99"/>
    <w:semiHidden/>
    <w:unhideWhenUsed/>
    <w:rsid w:val="002B1081"/>
    <w:rPr>
      <w:color w:val="954F72" w:themeColor="followedHyperlink"/>
      <w:u w:val="single"/>
    </w:rPr>
  </w:style>
  <w:style w:type="character" w:customStyle="1" w:styleId="ui-provider">
    <w:name w:val="ui-provider"/>
    <w:basedOn w:val="DefaultParagraphFont"/>
    <w:rsid w:val="00F12B0A"/>
  </w:style>
  <w:style w:type="paragraph" w:customStyle="1" w:styleId="AGRGStandardReg">
    <w:name w:val="AG_RG_StandardReg"/>
    <w:qFormat/>
    <w:rsid w:val="004A35CC"/>
    <w:pPr>
      <w:autoSpaceDN/>
      <w:spacing w:after="160" w:line="276" w:lineRule="auto"/>
      <w:jc w:val="both"/>
    </w:pPr>
    <w:rPr>
      <w:rFonts w:ascii="Arial" w:eastAsiaTheme="minorHAnsi" w:hAnsi="Arial" w:cstheme="minorBidi"/>
      <w:color w:val="6F7072"/>
      <w:sz w:val="16"/>
      <w:szCs w:val="22"/>
      <w:lang w:val="it-IT"/>
    </w:rPr>
  </w:style>
  <w:style w:type="character" w:styleId="Mention">
    <w:name w:val="Mention"/>
    <w:basedOn w:val="DefaultParagraphFont"/>
    <w:uiPriority w:val="99"/>
    <w:unhideWhenUsed/>
    <w:rsid w:val="003E1A55"/>
    <w:rPr>
      <w:color w:val="2B579A"/>
      <w:shd w:val="clear" w:color="auto" w:fill="E1DFDD"/>
    </w:rPr>
  </w:style>
  <w:style w:type="character" w:styleId="Strong">
    <w:name w:val="Strong"/>
    <w:basedOn w:val="DefaultParagraphFont"/>
    <w:uiPriority w:val="22"/>
    <w:qFormat/>
    <w:rsid w:val="00C67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217">
      <w:bodyDiv w:val="1"/>
      <w:marLeft w:val="0"/>
      <w:marRight w:val="0"/>
      <w:marTop w:val="0"/>
      <w:marBottom w:val="0"/>
      <w:divBdr>
        <w:top w:val="none" w:sz="0" w:space="0" w:color="auto"/>
        <w:left w:val="none" w:sz="0" w:space="0" w:color="auto"/>
        <w:bottom w:val="none" w:sz="0" w:space="0" w:color="auto"/>
        <w:right w:val="none" w:sz="0" w:space="0" w:color="auto"/>
      </w:divBdr>
    </w:div>
    <w:div w:id="300692563">
      <w:bodyDiv w:val="1"/>
      <w:marLeft w:val="0"/>
      <w:marRight w:val="0"/>
      <w:marTop w:val="0"/>
      <w:marBottom w:val="0"/>
      <w:divBdr>
        <w:top w:val="none" w:sz="0" w:space="0" w:color="auto"/>
        <w:left w:val="none" w:sz="0" w:space="0" w:color="auto"/>
        <w:bottom w:val="none" w:sz="0" w:space="0" w:color="auto"/>
        <w:right w:val="none" w:sz="0" w:space="0" w:color="auto"/>
      </w:divBdr>
    </w:div>
    <w:div w:id="515120299">
      <w:bodyDiv w:val="1"/>
      <w:marLeft w:val="0"/>
      <w:marRight w:val="0"/>
      <w:marTop w:val="0"/>
      <w:marBottom w:val="0"/>
      <w:divBdr>
        <w:top w:val="none" w:sz="0" w:space="0" w:color="auto"/>
        <w:left w:val="none" w:sz="0" w:space="0" w:color="auto"/>
        <w:bottom w:val="none" w:sz="0" w:space="0" w:color="auto"/>
        <w:right w:val="none" w:sz="0" w:space="0" w:color="auto"/>
      </w:divBdr>
    </w:div>
    <w:div w:id="650602217">
      <w:bodyDiv w:val="1"/>
      <w:marLeft w:val="0"/>
      <w:marRight w:val="0"/>
      <w:marTop w:val="0"/>
      <w:marBottom w:val="0"/>
      <w:divBdr>
        <w:top w:val="none" w:sz="0" w:space="0" w:color="auto"/>
        <w:left w:val="none" w:sz="0" w:space="0" w:color="auto"/>
        <w:bottom w:val="none" w:sz="0" w:space="0" w:color="auto"/>
        <w:right w:val="none" w:sz="0" w:space="0" w:color="auto"/>
      </w:divBdr>
    </w:div>
    <w:div w:id="900022810">
      <w:bodyDiv w:val="1"/>
      <w:marLeft w:val="0"/>
      <w:marRight w:val="0"/>
      <w:marTop w:val="0"/>
      <w:marBottom w:val="0"/>
      <w:divBdr>
        <w:top w:val="none" w:sz="0" w:space="0" w:color="auto"/>
        <w:left w:val="none" w:sz="0" w:space="0" w:color="auto"/>
        <w:bottom w:val="none" w:sz="0" w:space="0" w:color="auto"/>
        <w:right w:val="none" w:sz="0" w:space="0" w:color="auto"/>
      </w:divBdr>
    </w:div>
    <w:div w:id="1264265624">
      <w:bodyDiv w:val="1"/>
      <w:marLeft w:val="0"/>
      <w:marRight w:val="0"/>
      <w:marTop w:val="0"/>
      <w:marBottom w:val="0"/>
      <w:divBdr>
        <w:top w:val="none" w:sz="0" w:space="0" w:color="auto"/>
        <w:left w:val="none" w:sz="0" w:space="0" w:color="auto"/>
        <w:bottom w:val="none" w:sz="0" w:space="0" w:color="auto"/>
        <w:right w:val="none" w:sz="0" w:space="0" w:color="auto"/>
      </w:divBdr>
    </w:div>
    <w:div w:id="1296523779">
      <w:bodyDiv w:val="1"/>
      <w:marLeft w:val="0"/>
      <w:marRight w:val="0"/>
      <w:marTop w:val="0"/>
      <w:marBottom w:val="0"/>
      <w:divBdr>
        <w:top w:val="none" w:sz="0" w:space="0" w:color="auto"/>
        <w:left w:val="none" w:sz="0" w:space="0" w:color="auto"/>
        <w:bottom w:val="none" w:sz="0" w:space="0" w:color="auto"/>
        <w:right w:val="none" w:sz="0" w:space="0" w:color="auto"/>
      </w:divBdr>
    </w:div>
    <w:div w:id="1435780180">
      <w:bodyDiv w:val="1"/>
      <w:marLeft w:val="0"/>
      <w:marRight w:val="0"/>
      <w:marTop w:val="0"/>
      <w:marBottom w:val="0"/>
      <w:divBdr>
        <w:top w:val="none" w:sz="0" w:space="0" w:color="auto"/>
        <w:left w:val="none" w:sz="0" w:space="0" w:color="auto"/>
        <w:bottom w:val="none" w:sz="0" w:space="0" w:color="auto"/>
        <w:right w:val="none" w:sz="0" w:space="0" w:color="auto"/>
      </w:divBdr>
    </w:div>
    <w:div w:id="1978341483">
      <w:bodyDiv w:val="1"/>
      <w:marLeft w:val="0"/>
      <w:marRight w:val="0"/>
      <w:marTop w:val="0"/>
      <w:marBottom w:val="0"/>
      <w:divBdr>
        <w:top w:val="none" w:sz="0" w:space="0" w:color="auto"/>
        <w:left w:val="none" w:sz="0" w:space="0" w:color="auto"/>
        <w:bottom w:val="none" w:sz="0" w:space="0" w:color="auto"/>
        <w:right w:val="none" w:sz="0" w:space="0" w:color="auto"/>
      </w:divBdr>
    </w:div>
    <w:div w:id="203792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enerali.com/our-responsibilities/our-commitment-to-the-environment-and-clim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peano\Desktop\Internal_Documents_Format.doc.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F4278E381824A9DCB37BF056678A4" ma:contentTypeVersion="0" ma:contentTypeDescription="Create a new document." ma:contentTypeScope="" ma:versionID="f32b1ee0ea844f1b47aa9cb8dd97e19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04394-0EBA-420C-964C-22CFB63C6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17DB44-3BA8-4F63-955E-11DD6DFC0BFA}">
  <ds:schemaRefs>
    <ds:schemaRef ds:uri="http://schemas.microsoft.com/sharepoint/v3/contenttype/forms"/>
  </ds:schemaRefs>
</ds:datastoreItem>
</file>

<file path=customXml/itemProps3.xml><?xml version="1.0" encoding="utf-8"?>
<ds:datastoreItem xmlns:ds="http://schemas.openxmlformats.org/officeDocument/2006/customXml" ds:itemID="{4FE96D2A-5C08-417E-AC21-45BA654B99B6}">
  <ds:schemaRefs>
    <ds:schemaRef ds:uri="http://schemas.openxmlformats.org/officeDocument/2006/bibliography"/>
  </ds:schemaRefs>
</ds:datastoreItem>
</file>

<file path=customXml/itemProps4.xml><?xml version="1.0" encoding="utf-8"?>
<ds:datastoreItem xmlns:ds="http://schemas.openxmlformats.org/officeDocument/2006/customXml" ds:itemID="{40B2C27F-C51E-4CE4-B00A-EDC2CE158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Internal_Documents_Format.doc</Template>
  <TotalTime>2</TotalTime>
  <Pages>25</Pages>
  <Words>12392</Words>
  <Characters>71878</Characters>
  <Application>Microsoft Office Word</Application>
  <DocSecurity>0</DocSecurity>
  <Lines>598</Lines>
  <Paragraphs>168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Group Compliance policy</vt:lpstr>
      <vt:lpstr>Group Compliance policy</vt:lpstr>
    </vt:vector>
  </TitlesOfParts>
  <Company/>
  <LinksUpToDate>false</LinksUpToDate>
  <CharactersWithSpaces>84102</CharactersWithSpaces>
  <SharedDoc>false</SharedDoc>
  <HLinks>
    <vt:vector size="96" baseType="variant">
      <vt:variant>
        <vt:i4>983121</vt:i4>
      </vt:variant>
      <vt:variant>
        <vt:i4>93</vt:i4>
      </vt:variant>
      <vt:variant>
        <vt:i4>0</vt:i4>
      </vt:variant>
      <vt:variant>
        <vt:i4>5</vt:i4>
      </vt:variant>
      <vt:variant>
        <vt:lpwstr>https://www.generali.com/sustainability/responsible-investor/sustainability-into-investments</vt:lpwstr>
      </vt:variant>
      <vt:variant>
        <vt:lpwstr/>
      </vt:variant>
      <vt:variant>
        <vt:i4>6291496</vt:i4>
      </vt:variant>
      <vt:variant>
        <vt:i4>84</vt:i4>
      </vt:variant>
      <vt:variant>
        <vt:i4>0</vt:i4>
      </vt:variant>
      <vt:variant>
        <vt:i4>5</vt:i4>
      </vt:variant>
      <vt:variant>
        <vt:lpwstr>https://www.generalirealestate.com/regulatory/</vt:lpwstr>
      </vt:variant>
      <vt:variant>
        <vt:lpwstr/>
      </vt:variant>
      <vt:variant>
        <vt:i4>983121</vt:i4>
      </vt:variant>
      <vt:variant>
        <vt:i4>81</vt:i4>
      </vt:variant>
      <vt:variant>
        <vt:i4>0</vt:i4>
      </vt:variant>
      <vt:variant>
        <vt:i4>5</vt:i4>
      </vt:variant>
      <vt:variant>
        <vt:lpwstr>https://www.generali.com/sustainability/responsible-investor/sustainability-into-investments</vt:lpwstr>
      </vt:variant>
      <vt:variant>
        <vt:lpwstr/>
      </vt:variant>
      <vt:variant>
        <vt:i4>983121</vt:i4>
      </vt:variant>
      <vt:variant>
        <vt:i4>75</vt:i4>
      </vt:variant>
      <vt:variant>
        <vt:i4>0</vt:i4>
      </vt:variant>
      <vt:variant>
        <vt:i4>5</vt:i4>
      </vt:variant>
      <vt:variant>
        <vt:lpwstr>https://www.generali.com/sustainability/responsible-investor/sustainability-into-investments</vt:lpwstr>
      </vt:variant>
      <vt:variant>
        <vt:lpwstr/>
      </vt:variant>
      <vt:variant>
        <vt:i4>983121</vt:i4>
      </vt:variant>
      <vt:variant>
        <vt:i4>63</vt:i4>
      </vt:variant>
      <vt:variant>
        <vt:i4>0</vt:i4>
      </vt:variant>
      <vt:variant>
        <vt:i4>5</vt:i4>
      </vt:variant>
      <vt:variant>
        <vt:lpwstr>https://www.generali.com/sustainability/responsible-investor/sustainability-into-investments</vt:lpwstr>
      </vt:variant>
      <vt:variant>
        <vt:lpwstr/>
      </vt:variant>
      <vt:variant>
        <vt:i4>393224</vt:i4>
      </vt:variant>
      <vt:variant>
        <vt:i4>54</vt:i4>
      </vt:variant>
      <vt:variant>
        <vt:i4>0</vt:i4>
      </vt:variant>
      <vt:variant>
        <vt:i4>5</vt:i4>
      </vt:variant>
      <vt:variant>
        <vt:lpwstr>https://www.unepfi.org/net-zero-alliance</vt:lpwstr>
      </vt:variant>
      <vt:variant>
        <vt:lpwstr/>
      </vt:variant>
      <vt:variant>
        <vt:i4>2949171</vt:i4>
      </vt:variant>
      <vt:variant>
        <vt:i4>51</vt:i4>
      </vt:variant>
      <vt:variant>
        <vt:i4>0</vt:i4>
      </vt:variant>
      <vt:variant>
        <vt:i4>5</vt:i4>
      </vt:variant>
      <vt:variant>
        <vt:lpwstr>https://www.generali.com/our-responsibilities/our-commitment-to-the-environment-and-climate</vt:lpwstr>
      </vt:variant>
      <vt:variant>
        <vt:lpwstr/>
      </vt:variant>
      <vt:variant>
        <vt:i4>1900596</vt:i4>
      </vt:variant>
      <vt:variant>
        <vt:i4>44</vt:i4>
      </vt:variant>
      <vt:variant>
        <vt:i4>0</vt:i4>
      </vt:variant>
      <vt:variant>
        <vt:i4>5</vt:i4>
      </vt:variant>
      <vt:variant>
        <vt:lpwstr/>
      </vt:variant>
      <vt:variant>
        <vt:lpwstr>_Toc136509353</vt:lpwstr>
      </vt:variant>
      <vt:variant>
        <vt:i4>1900596</vt:i4>
      </vt:variant>
      <vt:variant>
        <vt:i4>38</vt:i4>
      </vt:variant>
      <vt:variant>
        <vt:i4>0</vt:i4>
      </vt:variant>
      <vt:variant>
        <vt:i4>5</vt:i4>
      </vt:variant>
      <vt:variant>
        <vt:lpwstr/>
      </vt:variant>
      <vt:variant>
        <vt:lpwstr>_Toc136509352</vt:lpwstr>
      </vt:variant>
      <vt:variant>
        <vt:i4>1900596</vt:i4>
      </vt:variant>
      <vt:variant>
        <vt:i4>32</vt:i4>
      </vt:variant>
      <vt:variant>
        <vt:i4>0</vt:i4>
      </vt:variant>
      <vt:variant>
        <vt:i4>5</vt:i4>
      </vt:variant>
      <vt:variant>
        <vt:lpwstr/>
      </vt:variant>
      <vt:variant>
        <vt:lpwstr>_Toc136509351</vt:lpwstr>
      </vt:variant>
      <vt:variant>
        <vt:i4>1900596</vt:i4>
      </vt:variant>
      <vt:variant>
        <vt:i4>26</vt:i4>
      </vt:variant>
      <vt:variant>
        <vt:i4>0</vt:i4>
      </vt:variant>
      <vt:variant>
        <vt:i4>5</vt:i4>
      </vt:variant>
      <vt:variant>
        <vt:lpwstr/>
      </vt:variant>
      <vt:variant>
        <vt:lpwstr>_Toc136509350</vt:lpwstr>
      </vt:variant>
      <vt:variant>
        <vt:i4>1835060</vt:i4>
      </vt:variant>
      <vt:variant>
        <vt:i4>20</vt:i4>
      </vt:variant>
      <vt:variant>
        <vt:i4>0</vt:i4>
      </vt:variant>
      <vt:variant>
        <vt:i4>5</vt:i4>
      </vt:variant>
      <vt:variant>
        <vt:lpwstr/>
      </vt:variant>
      <vt:variant>
        <vt:lpwstr>_Toc136509349</vt:lpwstr>
      </vt:variant>
      <vt:variant>
        <vt:i4>1835060</vt:i4>
      </vt:variant>
      <vt:variant>
        <vt:i4>14</vt:i4>
      </vt:variant>
      <vt:variant>
        <vt:i4>0</vt:i4>
      </vt:variant>
      <vt:variant>
        <vt:i4>5</vt:i4>
      </vt:variant>
      <vt:variant>
        <vt:lpwstr/>
      </vt:variant>
      <vt:variant>
        <vt:lpwstr>_Toc136509348</vt:lpwstr>
      </vt:variant>
      <vt:variant>
        <vt:i4>1835060</vt:i4>
      </vt:variant>
      <vt:variant>
        <vt:i4>8</vt:i4>
      </vt:variant>
      <vt:variant>
        <vt:i4>0</vt:i4>
      </vt:variant>
      <vt:variant>
        <vt:i4>5</vt:i4>
      </vt:variant>
      <vt:variant>
        <vt:lpwstr/>
      </vt:variant>
      <vt:variant>
        <vt:lpwstr>_Toc136509347</vt:lpwstr>
      </vt:variant>
      <vt:variant>
        <vt:i4>1835060</vt:i4>
      </vt:variant>
      <vt:variant>
        <vt:i4>2</vt:i4>
      </vt:variant>
      <vt:variant>
        <vt:i4>0</vt:i4>
      </vt:variant>
      <vt:variant>
        <vt:i4>5</vt:i4>
      </vt:variant>
      <vt:variant>
        <vt:lpwstr/>
      </vt:variant>
      <vt:variant>
        <vt:lpwstr>_Toc136509346</vt:lpwstr>
      </vt:variant>
      <vt:variant>
        <vt:i4>2949171</vt:i4>
      </vt:variant>
      <vt:variant>
        <vt:i4>0</vt:i4>
      </vt:variant>
      <vt:variant>
        <vt:i4>0</vt:i4>
      </vt:variant>
      <vt:variant>
        <vt:i4>5</vt:i4>
      </vt:variant>
      <vt:variant>
        <vt:lpwstr>https://www.generali.com/our-responsibilities/our-commitment-to-the-environment-and-climate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 de conformitate a grupului</dc:title>
  <dc:subject/>
  <dc:creator>asjad</dc:creator>
  <cp:keywords/>
  <dc:description/>
  <cp:lastModifiedBy>Anca Teodorescu</cp:lastModifiedBy>
  <cp:revision>2</cp:revision>
  <cp:lastPrinted>2025-06-04T07:57:00Z</cp:lastPrinted>
  <dcterms:created xsi:type="dcterms:W3CDTF">2025-06-30T09:56:00Z</dcterms:created>
  <dcterms:modified xsi:type="dcterms:W3CDTF">2025-06-30T09:56:00Z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2022-08-12T10:17:07Z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fc86c564-7169-4cf5-9f98-7c272df0a3e5</vt:lpwstr>
  </property>
  <property fmtid="{D5CDD505-2E9C-101B-9397-08002B2CF9AE}" pid="8" name="MSIP_Label_5bf4bb52-9e9d-4296-940a-59002820a53c_ContentBits">
    <vt:lpwstr>0</vt:lpwstr>
  </property>
  <property fmtid="{D5CDD505-2E9C-101B-9397-08002B2CF9AE}" pid="9" name="ContentTypeId">
    <vt:lpwstr>0x01010073AF4278E381824A9DCB37BF056678A4</vt:lpwstr>
  </property>
  <property fmtid="{D5CDD505-2E9C-101B-9397-08002B2CF9AE}" pid="10" name="GrammarlyDocumentId">
    <vt:lpwstr>55e5e4d97a681341e8b7384128f8d12d4c74b540822f2a0bce9cbf4a6ca87e37</vt:lpwstr>
  </property>
  <property fmtid="{D5CDD505-2E9C-101B-9397-08002B2CF9AE}" pid="11" name="MSIP_Label_89c4e71c-d371-4f25-9475-af5d49e3e488_Enabled">
    <vt:lpwstr>true</vt:lpwstr>
  </property>
  <property fmtid="{D5CDD505-2E9C-101B-9397-08002B2CF9AE}" pid="12" name="MSIP_Label_89c4e71c-d371-4f25-9475-af5d49e3e488_SetDate">
    <vt:lpwstr>2025-06-23T06:45:11Z</vt:lpwstr>
  </property>
  <property fmtid="{D5CDD505-2E9C-101B-9397-08002B2CF9AE}" pid="13" name="MSIP_Label_89c4e71c-d371-4f25-9475-af5d49e3e488_Method">
    <vt:lpwstr>Privileged</vt:lpwstr>
  </property>
  <property fmtid="{D5CDD505-2E9C-101B-9397-08002B2CF9AE}" pid="14" name="MSIP_Label_89c4e71c-d371-4f25-9475-af5d49e3e488_Name">
    <vt:lpwstr>Uz Intern - Fara Marcaj</vt:lpwstr>
  </property>
  <property fmtid="{D5CDD505-2E9C-101B-9397-08002B2CF9AE}" pid="15" name="MSIP_Label_89c4e71c-d371-4f25-9475-af5d49e3e488_SiteId">
    <vt:lpwstr>63bf81ae-f2c7-4255-9e05-a563d2d736d9</vt:lpwstr>
  </property>
  <property fmtid="{D5CDD505-2E9C-101B-9397-08002B2CF9AE}" pid="16" name="MSIP_Label_89c4e71c-d371-4f25-9475-af5d49e3e488_ActionId">
    <vt:lpwstr>dc09bb90-d9c7-46c5-aa87-43051347274b</vt:lpwstr>
  </property>
  <property fmtid="{D5CDD505-2E9C-101B-9397-08002B2CF9AE}" pid="17" name="MSIP_Label_89c4e71c-d371-4f25-9475-af5d49e3e488_ContentBits">
    <vt:lpwstr>0</vt:lpwstr>
  </property>
  <property fmtid="{D5CDD505-2E9C-101B-9397-08002B2CF9AE}" pid="18" name="MSIP_Label_89c4e71c-d371-4f25-9475-af5d49e3e488_Tag">
    <vt:lpwstr>10, 0, 1, 1</vt:lpwstr>
  </property>
</Properties>
</file>